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FAEA" w14:textId="7813969F" w:rsidR="004278C9" w:rsidRPr="00A17FB3" w:rsidRDefault="004278C9" w:rsidP="00A17FB3">
      <w:pPr>
        <w:pStyle w:val="Default"/>
        <w:rPr>
          <w:rFonts w:asciiTheme="minorHAnsi" w:hAnsiTheme="minorHAnsi"/>
          <w:b/>
          <w:bCs/>
          <w:color w:val="auto"/>
          <w:sz w:val="44"/>
          <w:szCs w:val="44"/>
        </w:rPr>
      </w:pPr>
    </w:p>
    <w:tbl>
      <w:tblPr>
        <w:tblStyle w:val="TableGrid"/>
        <w:tblpPr w:leftFromText="180" w:rightFromText="180" w:vertAnchor="text" w:horzAnchor="margin" w:tblpXSpec="center" w:tblpY="78"/>
        <w:tblW w:w="13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0"/>
      </w:tblGrid>
      <w:tr w:rsidR="00755629" w14:paraId="01A92DED" w14:textId="77777777" w:rsidTr="009D7A1E">
        <w:trPr>
          <w:trHeight w:val="7266"/>
        </w:trPr>
        <w:tc>
          <w:tcPr>
            <w:tcW w:w="13070" w:type="dxa"/>
          </w:tcPr>
          <w:p w14:paraId="6B443903" w14:textId="77777777" w:rsidR="00CA0ED5" w:rsidRDefault="00CA0ED5" w:rsidP="00755629">
            <w:pPr>
              <w:shd w:val="clear" w:color="auto" w:fill="FFFFFF"/>
              <w:spacing w:after="0" w:line="360" w:lineRule="auto"/>
              <w:jc w:val="center"/>
              <w:textAlignment w:val="baseline"/>
              <w:outlineLvl w:val="1"/>
              <w:rPr>
                <w:rFonts w:asciiTheme="minorHAnsi" w:hAnsiTheme="minorHAnsi"/>
                <w:b/>
                <w:bCs/>
                <w:color w:val="auto"/>
                <w:sz w:val="54"/>
                <w:szCs w:val="54"/>
              </w:rPr>
            </w:pPr>
          </w:p>
          <w:p w14:paraId="6959D005" w14:textId="57080F6A" w:rsidR="00A17FB3" w:rsidRPr="009D7A1E" w:rsidRDefault="00A17FB3" w:rsidP="00755629">
            <w:pPr>
              <w:shd w:val="clear" w:color="auto" w:fill="FFFFFF"/>
              <w:spacing w:after="0" w:line="360" w:lineRule="auto"/>
              <w:jc w:val="center"/>
              <w:textAlignment w:val="baseline"/>
              <w:outlineLvl w:val="1"/>
              <w:rPr>
                <w:rFonts w:cstheme="minorHAnsi"/>
                <w:b/>
                <w:bCs/>
                <w:sz w:val="54"/>
                <w:szCs w:val="54"/>
                <w:bdr w:val="none" w:sz="0" w:space="0" w:color="auto" w:frame="1"/>
              </w:rPr>
            </w:pPr>
            <w:r w:rsidRPr="009D7A1E">
              <w:rPr>
                <w:rFonts w:asciiTheme="minorHAnsi" w:hAnsiTheme="minorHAnsi"/>
                <w:b/>
                <w:bCs/>
                <w:color w:val="auto"/>
                <w:sz w:val="54"/>
                <w:szCs w:val="54"/>
              </w:rPr>
              <w:t>HORTON HOUSING TRAINING CENTRE</w:t>
            </w:r>
            <w:r w:rsidRPr="009D7A1E">
              <w:rPr>
                <w:rFonts w:cstheme="minorHAnsi"/>
                <w:b/>
                <w:bCs/>
                <w:sz w:val="54"/>
                <w:szCs w:val="54"/>
                <w:bdr w:val="none" w:sz="0" w:space="0" w:color="auto" w:frame="1"/>
              </w:rPr>
              <w:t xml:space="preserve"> </w:t>
            </w:r>
          </w:p>
          <w:p w14:paraId="71E6D1CB" w14:textId="3F501BE8" w:rsidR="00755629" w:rsidRPr="009D7A1E" w:rsidRDefault="00755629" w:rsidP="00755629">
            <w:pPr>
              <w:shd w:val="clear" w:color="auto" w:fill="FFFFFF"/>
              <w:spacing w:after="0" w:line="360" w:lineRule="auto"/>
              <w:jc w:val="center"/>
              <w:textAlignment w:val="baseline"/>
              <w:outlineLvl w:val="1"/>
              <w:rPr>
                <w:rFonts w:cstheme="minorHAnsi"/>
                <w:b/>
                <w:bCs/>
                <w:sz w:val="64"/>
                <w:szCs w:val="64"/>
                <w:bdr w:val="none" w:sz="0" w:space="0" w:color="auto" w:frame="1"/>
              </w:rPr>
            </w:pPr>
            <w:r w:rsidRPr="009D7A1E">
              <w:rPr>
                <w:rFonts w:cstheme="minorHAnsi"/>
                <w:b/>
                <w:bCs/>
                <w:sz w:val="64"/>
                <w:szCs w:val="64"/>
                <w:bdr w:val="none" w:sz="0" w:space="0" w:color="auto" w:frame="1"/>
              </w:rPr>
              <w:t xml:space="preserve">INFORMATION, ADVICE AND GUIDANCE </w:t>
            </w:r>
            <w:r w:rsidR="009D7A1E">
              <w:rPr>
                <w:rFonts w:cstheme="minorHAnsi"/>
                <w:b/>
                <w:bCs/>
                <w:sz w:val="64"/>
                <w:szCs w:val="64"/>
                <w:bdr w:val="none" w:sz="0" w:space="0" w:color="auto" w:frame="1"/>
              </w:rPr>
              <w:t>(</w:t>
            </w:r>
            <w:r w:rsidRPr="009D7A1E">
              <w:rPr>
                <w:rFonts w:cstheme="minorHAnsi"/>
                <w:b/>
                <w:bCs/>
                <w:sz w:val="64"/>
                <w:szCs w:val="64"/>
                <w:bdr w:val="none" w:sz="0" w:space="0" w:color="auto" w:frame="1"/>
              </w:rPr>
              <w:t>IAG) </w:t>
            </w:r>
          </w:p>
          <w:p w14:paraId="2E525734" w14:textId="77777777" w:rsidR="00755629" w:rsidRPr="009D7A1E" w:rsidRDefault="00755629" w:rsidP="00755629">
            <w:pPr>
              <w:shd w:val="clear" w:color="auto" w:fill="FFFFFF"/>
              <w:spacing w:after="0" w:line="360" w:lineRule="auto"/>
              <w:jc w:val="center"/>
              <w:textAlignment w:val="baseline"/>
              <w:outlineLvl w:val="1"/>
              <w:rPr>
                <w:rFonts w:cstheme="minorHAnsi"/>
                <w:b/>
                <w:bCs/>
                <w:sz w:val="64"/>
                <w:szCs w:val="64"/>
                <w:bdr w:val="none" w:sz="0" w:space="0" w:color="auto" w:frame="1"/>
              </w:rPr>
            </w:pPr>
            <w:r w:rsidRPr="009D7A1E">
              <w:rPr>
                <w:rFonts w:cstheme="minorHAnsi"/>
                <w:b/>
                <w:bCs/>
                <w:sz w:val="64"/>
                <w:szCs w:val="64"/>
                <w:bdr w:val="none" w:sz="0" w:space="0" w:color="auto" w:frame="1"/>
              </w:rPr>
              <w:t xml:space="preserve">STRATEGY </w:t>
            </w:r>
          </w:p>
          <w:p w14:paraId="213AFA4E" w14:textId="0512F667" w:rsidR="00755629" w:rsidRPr="00F25518" w:rsidRDefault="00755629" w:rsidP="00755629">
            <w:pPr>
              <w:shd w:val="clear" w:color="auto" w:fill="FFFFFF"/>
              <w:spacing w:after="0" w:line="480" w:lineRule="auto"/>
              <w:jc w:val="center"/>
              <w:textAlignment w:val="baseline"/>
              <w:outlineLvl w:val="1"/>
              <w:rPr>
                <w:rFonts w:cstheme="minorHAnsi"/>
                <w:b/>
                <w:bCs/>
                <w:sz w:val="54"/>
                <w:szCs w:val="54"/>
                <w:bdr w:val="none" w:sz="0" w:space="0" w:color="auto" w:frame="1"/>
              </w:rPr>
            </w:pPr>
            <w:r>
              <w:rPr>
                <w:rFonts w:cstheme="minorHAnsi"/>
                <w:b/>
                <w:bCs/>
                <w:sz w:val="54"/>
                <w:szCs w:val="54"/>
                <w:bdr w:val="none" w:sz="0" w:space="0" w:color="auto" w:frame="1"/>
              </w:rPr>
              <w:t>(</w:t>
            </w:r>
            <w:r w:rsidRPr="00F25518">
              <w:rPr>
                <w:rFonts w:cstheme="minorHAnsi"/>
                <w:b/>
                <w:bCs/>
                <w:sz w:val="54"/>
                <w:szCs w:val="54"/>
                <w:bdr w:val="none" w:sz="0" w:space="0" w:color="auto" w:frame="1"/>
              </w:rPr>
              <w:t>TEACHING, LEARNING AND SUPPORT</w:t>
            </w:r>
            <w:r>
              <w:rPr>
                <w:rFonts w:cstheme="minorHAnsi"/>
                <w:b/>
                <w:bCs/>
                <w:sz w:val="54"/>
                <w:szCs w:val="54"/>
                <w:bdr w:val="none" w:sz="0" w:space="0" w:color="auto" w:frame="1"/>
              </w:rPr>
              <w:t>)</w:t>
            </w:r>
          </w:p>
          <w:p w14:paraId="792C3931" w14:textId="77777777" w:rsidR="00755629" w:rsidRPr="004D1329" w:rsidRDefault="00755629" w:rsidP="00755629">
            <w:pPr>
              <w:shd w:val="clear" w:color="auto" w:fill="FFFFFF"/>
              <w:spacing w:after="0" w:line="480" w:lineRule="auto"/>
              <w:jc w:val="center"/>
              <w:textAlignment w:val="baseline"/>
              <w:outlineLvl w:val="1"/>
              <w:rPr>
                <w:rFonts w:cstheme="minorHAnsi"/>
                <w:b/>
                <w:bCs/>
                <w:sz w:val="72"/>
                <w:szCs w:val="72"/>
                <w:bdr w:val="none" w:sz="0" w:space="0" w:color="auto" w:frame="1"/>
              </w:rPr>
            </w:pPr>
            <w:r w:rsidRPr="004D1329">
              <w:rPr>
                <w:rFonts w:cstheme="minorHAnsi"/>
                <w:b/>
                <w:bCs/>
                <w:sz w:val="72"/>
                <w:szCs w:val="72"/>
                <w:bdr w:val="none" w:sz="0" w:space="0" w:color="auto" w:frame="1"/>
              </w:rPr>
              <w:t>2025/26</w:t>
            </w:r>
          </w:p>
          <w:p w14:paraId="105E0316" w14:textId="6187B162" w:rsidR="004D1329" w:rsidRDefault="004D1329" w:rsidP="00755629">
            <w:pPr>
              <w:shd w:val="clear" w:color="auto" w:fill="FFFFFF"/>
              <w:spacing w:after="0" w:line="480" w:lineRule="auto"/>
              <w:jc w:val="center"/>
              <w:textAlignment w:val="baseline"/>
              <w:outlineLvl w:val="1"/>
              <w:rPr>
                <w:rFonts w:asciiTheme="minorHAnsi" w:hAnsiTheme="minorHAnsi" w:cs="Arial"/>
                <w:b/>
                <w:bCs/>
                <w:szCs w:val="28"/>
              </w:rPr>
            </w:pPr>
          </w:p>
        </w:tc>
      </w:tr>
    </w:tbl>
    <w:p w14:paraId="2901937C" w14:textId="3DC0E279" w:rsidR="00F25518" w:rsidRPr="00F25518" w:rsidRDefault="00F25518" w:rsidP="00755629">
      <w:pPr>
        <w:tabs>
          <w:tab w:val="left" w:pos="1986"/>
        </w:tabs>
        <w:rPr>
          <w:rFonts w:asciiTheme="minorHAnsi" w:hAnsiTheme="minorHAnsi" w:cs="Arial"/>
          <w:b/>
          <w:bCs/>
          <w:szCs w:val="28"/>
        </w:rPr>
      </w:pPr>
      <w:r w:rsidRPr="00F25518">
        <w:rPr>
          <w:rFonts w:cs="Calibri"/>
          <w:b/>
          <w:bCs/>
          <w:sz w:val="32"/>
          <w:szCs w:val="32"/>
        </w:rPr>
        <w:lastRenderedPageBreak/>
        <w:t>Overview</w:t>
      </w:r>
    </w:p>
    <w:p w14:paraId="3C83D42A" w14:textId="3B417A18" w:rsidR="00F25518" w:rsidRPr="00F25518" w:rsidRDefault="00F25518" w:rsidP="00F25518">
      <w:pPr>
        <w:shd w:val="clear" w:color="auto" w:fill="FFFFFF"/>
        <w:spacing w:after="0" w:line="389" w:lineRule="atLeast"/>
        <w:textAlignment w:val="baseline"/>
        <w:rPr>
          <w:rFonts w:cs="Calibri"/>
          <w:sz w:val="24"/>
          <w:szCs w:val="24"/>
        </w:rPr>
      </w:pPr>
      <w:r w:rsidRPr="00F25518">
        <w:rPr>
          <w:rFonts w:cs="Calibri"/>
          <w:sz w:val="24"/>
          <w:szCs w:val="24"/>
        </w:rPr>
        <w:t xml:space="preserve">This strategy will outline how Horton Housing Training Services will plan, deliver and evaluate the provision of </w:t>
      </w:r>
      <w:r w:rsidR="00CA0ED5">
        <w:rPr>
          <w:rFonts w:cs="Calibri"/>
          <w:sz w:val="24"/>
          <w:szCs w:val="24"/>
        </w:rPr>
        <w:t xml:space="preserve">information, </w:t>
      </w:r>
      <w:r w:rsidRPr="00F25518">
        <w:rPr>
          <w:rFonts w:cs="Calibri"/>
          <w:sz w:val="24"/>
          <w:szCs w:val="24"/>
        </w:rPr>
        <w:t xml:space="preserve">advice and </w:t>
      </w:r>
      <w:r w:rsidR="00CA0ED5">
        <w:rPr>
          <w:rFonts w:cs="Calibri"/>
          <w:sz w:val="24"/>
          <w:szCs w:val="24"/>
        </w:rPr>
        <w:t>guidance (IAG)</w:t>
      </w:r>
      <w:r w:rsidRPr="00F25518">
        <w:rPr>
          <w:rFonts w:cs="Calibri"/>
          <w:sz w:val="24"/>
          <w:szCs w:val="24"/>
        </w:rPr>
        <w:t xml:space="preserve"> to adults over the age of 1</w:t>
      </w:r>
      <w:r w:rsidR="00CA0ED5">
        <w:rPr>
          <w:rFonts w:cs="Calibri"/>
          <w:sz w:val="24"/>
          <w:szCs w:val="24"/>
        </w:rPr>
        <w:t>8</w:t>
      </w:r>
      <w:r w:rsidRPr="00F25518">
        <w:rPr>
          <w:rFonts w:cs="Calibri"/>
          <w:sz w:val="24"/>
          <w:szCs w:val="24"/>
        </w:rPr>
        <w:t>.</w:t>
      </w:r>
    </w:p>
    <w:p w14:paraId="286F1A1D" w14:textId="77777777" w:rsidR="00F25518" w:rsidRPr="00F25518" w:rsidRDefault="00F25518" w:rsidP="00F25518">
      <w:pPr>
        <w:shd w:val="clear" w:color="auto" w:fill="FFFFFF"/>
        <w:spacing w:after="0" w:line="389" w:lineRule="atLeast"/>
        <w:textAlignment w:val="baseline"/>
        <w:rPr>
          <w:rFonts w:cs="Calibri"/>
          <w:sz w:val="24"/>
          <w:szCs w:val="24"/>
        </w:rPr>
      </w:pPr>
    </w:p>
    <w:p w14:paraId="49498F9E" w14:textId="157C47B4" w:rsidR="00F25518" w:rsidRPr="00F25518" w:rsidRDefault="00F25518" w:rsidP="00755629">
      <w:pPr>
        <w:tabs>
          <w:tab w:val="left" w:pos="1986"/>
        </w:tabs>
        <w:rPr>
          <w:rFonts w:cs="Calibri"/>
          <w:b/>
          <w:bCs/>
          <w:sz w:val="32"/>
          <w:szCs w:val="32"/>
        </w:rPr>
      </w:pPr>
      <w:r w:rsidRPr="00F25518">
        <w:rPr>
          <w:rFonts w:cs="Calibri"/>
          <w:b/>
          <w:bCs/>
          <w:sz w:val="32"/>
          <w:szCs w:val="32"/>
        </w:rPr>
        <w:t>What is the purpose of information</w:t>
      </w:r>
      <w:r w:rsidR="00CA0ED5">
        <w:rPr>
          <w:rFonts w:cs="Calibri"/>
          <w:b/>
          <w:bCs/>
          <w:sz w:val="32"/>
          <w:szCs w:val="32"/>
        </w:rPr>
        <w:t xml:space="preserve">, </w:t>
      </w:r>
      <w:r w:rsidRPr="00F25518">
        <w:rPr>
          <w:rFonts w:cs="Calibri"/>
          <w:b/>
          <w:bCs/>
          <w:sz w:val="32"/>
          <w:szCs w:val="32"/>
        </w:rPr>
        <w:t>advice</w:t>
      </w:r>
      <w:r w:rsidR="00CA0ED5">
        <w:rPr>
          <w:rFonts w:cs="Calibri"/>
          <w:b/>
          <w:bCs/>
          <w:sz w:val="32"/>
          <w:szCs w:val="32"/>
        </w:rPr>
        <w:t xml:space="preserve"> and guidance</w:t>
      </w:r>
      <w:r w:rsidRPr="00F25518">
        <w:rPr>
          <w:rFonts w:cs="Calibri"/>
          <w:b/>
          <w:bCs/>
          <w:sz w:val="32"/>
          <w:szCs w:val="32"/>
        </w:rPr>
        <w:t xml:space="preserve"> provision? </w:t>
      </w:r>
    </w:p>
    <w:p w14:paraId="26178C5F" w14:textId="77777777" w:rsidR="00F25518" w:rsidRPr="00F25518" w:rsidRDefault="00F25518" w:rsidP="00F25518">
      <w:pPr>
        <w:shd w:val="clear" w:color="auto" w:fill="FFFFFF"/>
        <w:spacing w:after="0" w:line="389" w:lineRule="atLeast"/>
        <w:textAlignment w:val="baseline"/>
        <w:rPr>
          <w:rFonts w:cs="Calibri"/>
          <w:sz w:val="24"/>
          <w:szCs w:val="24"/>
        </w:rPr>
      </w:pPr>
      <w:r w:rsidRPr="00F25518">
        <w:rPr>
          <w:rFonts w:cs="Calibri"/>
          <w:sz w:val="24"/>
          <w:szCs w:val="24"/>
        </w:rPr>
        <w:t>To ensure the people we work with are supported to make informed decisions which enable them to engage in appropriate learning programmes, complete the intended learning outcomes and achieve personal learning goals.</w:t>
      </w:r>
    </w:p>
    <w:p w14:paraId="7070E888" w14:textId="77777777" w:rsidR="00F25518" w:rsidRDefault="00F25518" w:rsidP="00F25518">
      <w:pPr>
        <w:shd w:val="clear" w:color="auto" w:fill="FFFFFF"/>
        <w:spacing w:after="0" w:line="389" w:lineRule="atLeast"/>
        <w:textAlignment w:val="baseline"/>
        <w:rPr>
          <w:rFonts w:cs="Calibri"/>
          <w:sz w:val="24"/>
          <w:szCs w:val="24"/>
        </w:rPr>
      </w:pPr>
      <w:r w:rsidRPr="00F25518">
        <w:rPr>
          <w:rFonts w:cs="Calibri"/>
          <w:sz w:val="24"/>
          <w:szCs w:val="24"/>
        </w:rPr>
        <w:t>Advice and information will be impartial and will signpost individuals to wider guidance services, such as Business in the Community, TERN and other education and training providers who are better placed to meet their needs.</w:t>
      </w:r>
    </w:p>
    <w:p w14:paraId="521B1B0F" w14:textId="77777777" w:rsidR="006D3541" w:rsidRDefault="006D3541" w:rsidP="00CA0ED5">
      <w:pPr>
        <w:shd w:val="clear" w:color="auto" w:fill="FFFFFF"/>
        <w:spacing w:after="0" w:line="479" w:lineRule="atLeast"/>
        <w:textAlignment w:val="baseline"/>
        <w:outlineLvl w:val="2"/>
        <w:rPr>
          <w:rFonts w:cs="Calibri"/>
          <w:b/>
          <w:bCs/>
          <w:sz w:val="32"/>
          <w:szCs w:val="32"/>
        </w:rPr>
      </w:pPr>
    </w:p>
    <w:p w14:paraId="268D17F0" w14:textId="736057F4" w:rsidR="00F25518" w:rsidRDefault="00F25518" w:rsidP="00CA0ED5">
      <w:pPr>
        <w:shd w:val="clear" w:color="auto" w:fill="FFFFFF"/>
        <w:spacing w:after="0" w:line="479" w:lineRule="atLeast"/>
        <w:textAlignment w:val="baseline"/>
        <w:outlineLvl w:val="2"/>
        <w:rPr>
          <w:rFonts w:cs="Calibri"/>
          <w:b/>
          <w:bCs/>
          <w:sz w:val="32"/>
          <w:szCs w:val="32"/>
        </w:rPr>
      </w:pPr>
      <w:r w:rsidRPr="00F25518">
        <w:rPr>
          <w:rFonts w:cs="Calibri"/>
          <w:b/>
          <w:bCs/>
          <w:sz w:val="32"/>
          <w:szCs w:val="32"/>
        </w:rPr>
        <w:t>Our foundation for planning and delivery of IAG:</w:t>
      </w:r>
    </w:p>
    <w:p w14:paraId="7B4B1046" w14:textId="77777777" w:rsidR="00CA0ED5" w:rsidRPr="00CA0ED5" w:rsidRDefault="00CA0ED5" w:rsidP="00CA0ED5">
      <w:pPr>
        <w:shd w:val="clear" w:color="auto" w:fill="FFFFFF"/>
        <w:spacing w:after="0" w:line="479" w:lineRule="atLeast"/>
        <w:textAlignment w:val="baseline"/>
        <w:outlineLvl w:val="2"/>
        <w:rPr>
          <w:rFonts w:cs="Calibri"/>
          <w:b/>
          <w:bCs/>
          <w:sz w:val="16"/>
          <w:szCs w:val="16"/>
        </w:rPr>
      </w:pPr>
    </w:p>
    <w:tbl>
      <w:tblPr>
        <w:tblW w:w="13696" w:type="dxa"/>
        <w:tblCellSpacing w:w="15" w:type="dxa"/>
        <w:shd w:val="clear" w:color="auto" w:fill="FFFFFF"/>
        <w:tblCellMar>
          <w:left w:w="0" w:type="dxa"/>
          <w:right w:w="0" w:type="dxa"/>
        </w:tblCellMar>
        <w:tblLook w:val="04A0" w:firstRow="1" w:lastRow="0" w:firstColumn="1" w:lastColumn="0" w:noHBand="0" w:noVBand="1"/>
      </w:tblPr>
      <w:tblGrid>
        <w:gridCol w:w="6848"/>
        <w:gridCol w:w="6848"/>
      </w:tblGrid>
      <w:tr w:rsidR="00F25518" w:rsidRPr="00F25518" w14:paraId="720A7DC8" w14:textId="77777777" w:rsidTr="00CA0ED5">
        <w:trPr>
          <w:trHeight w:val="660"/>
          <w:tblCellSpacing w:w="15" w:type="dxa"/>
        </w:trPr>
        <w:tc>
          <w:tcPr>
            <w:tcW w:w="6803" w:type="dxa"/>
            <w:tcBorders>
              <w:top w:val="single" w:sz="6" w:space="0" w:color="DCDCDC"/>
              <w:left w:val="single" w:sz="6" w:space="0" w:color="DCDCDC"/>
              <w:bottom w:val="single" w:sz="6" w:space="0" w:color="DCDCDC"/>
              <w:right w:val="single" w:sz="6" w:space="0" w:color="DCDCDC"/>
            </w:tcBorders>
            <w:shd w:val="clear" w:color="auto" w:fill="FBD4B4" w:themeFill="accent6" w:themeFillTint="66"/>
            <w:tcMar>
              <w:top w:w="150" w:type="dxa"/>
              <w:left w:w="150" w:type="dxa"/>
              <w:bottom w:w="150" w:type="dxa"/>
              <w:right w:w="150" w:type="dxa"/>
            </w:tcMar>
            <w:hideMark/>
          </w:tcPr>
          <w:p w14:paraId="0DDC1CAB" w14:textId="77777777" w:rsidR="00F25518" w:rsidRPr="00F25518" w:rsidRDefault="00F25518" w:rsidP="00CA0ED5">
            <w:pPr>
              <w:spacing w:after="0" w:line="330" w:lineRule="atLeast"/>
              <w:rPr>
                <w:rFonts w:cs="Calibri"/>
                <w:b/>
                <w:color w:val="632423" w:themeColor="accent2" w:themeShade="80"/>
                <w:sz w:val="24"/>
                <w:szCs w:val="24"/>
              </w:rPr>
            </w:pPr>
            <w:r w:rsidRPr="00F25518">
              <w:rPr>
                <w:rFonts w:cs="Calibri"/>
                <w:b/>
                <w:color w:val="632423" w:themeColor="accent2" w:themeShade="80"/>
                <w:sz w:val="24"/>
                <w:szCs w:val="24"/>
              </w:rPr>
              <w:t xml:space="preserve">Increase the skills, confidence, independence, employment and volunteering opportunities of adults with support needs by providing ESOL, employment and training support </w:t>
            </w:r>
          </w:p>
        </w:tc>
        <w:tc>
          <w:tcPr>
            <w:tcW w:w="6803" w:type="dxa"/>
            <w:tcBorders>
              <w:top w:val="single" w:sz="6" w:space="0" w:color="DCDCDC"/>
              <w:left w:val="single" w:sz="6" w:space="0" w:color="DCDCDC"/>
              <w:bottom w:val="single" w:sz="6" w:space="0" w:color="DCDCDC"/>
              <w:right w:val="single" w:sz="6" w:space="0" w:color="DCDCDC"/>
            </w:tcBorders>
            <w:shd w:val="clear" w:color="auto" w:fill="FBD4B4" w:themeFill="accent6" w:themeFillTint="66"/>
            <w:tcMar>
              <w:top w:w="150" w:type="dxa"/>
              <w:left w:w="150" w:type="dxa"/>
              <w:bottom w:w="150" w:type="dxa"/>
              <w:right w:w="150" w:type="dxa"/>
            </w:tcMar>
            <w:hideMark/>
          </w:tcPr>
          <w:p w14:paraId="504494BA" w14:textId="77777777" w:rsidR="00F25518" w:rsidRPr="00F25518" w:rsidRDefault="00F25518" w:rsidP="00CA0ED5">
            <w:pPr>
              <w:spacing w:after="0" w:line="330" w:lineRule="atLeast"/>
              <w:rPr>
                <w:rFonts w:cs="Calibri"/>
                <w:b/>
                <w:color w:val="632423" w:themeColor="accent2" w:themeShade="80"/>
                <w:sz w:val="24"/>
                <w:szCs w:val="24"/>
              </w:rPr>
            </w:pPr>
            <w:r w:rsidRPr="00F25518">
              <w:rPr>
                <w:rFonts w:cs="Calibri"/>
                <w:b/>
                <w:color w:val="632423" w:themeColor="accent2" w:themeShade="80"/>
                <w:sz w:val="24"/>
                <w:szCs w:val="24"/>
              </w:rPr>
              <w:t xml:space="preserve">Provide learners with quality assured learning support in an easily accessible, friendly and safe learning environment </w:t>
            </w:r>
          </w:p>
        </w:tc>
      </w:tr>
      <w:tr w:rsidR="00F25518" w:rsidRPr="00F25518" w14:paraId="1C67278A" w14:textId="77777777" w:rsidTr="00CA0ED5">
        <w:trPr>
          <w:trHeight w:val="330"/>
          <w:tblCellSpacing w:w="15" w:type="dxa"/>
        </w:trPr>
        <w:tc>
          <w:tcPr>
            <w:tcW w:w="6803" w:type="dxa"/>
            <w:tcBorders>
              <w:top w:val="single" w:sz="6" w:space="0" w:color="DCDCDC"/>
              <w:left w:val="single" w:sz="6" w:space="0" w:color="DCDCDC"/>
              <w:bottom w:val="single" w:sz="6" w:space="0" w:color="DCDCDC"/>
              <w:right w:val="single" w:sz="6" w:space="0" w:color="DCDCDC"/>
            </w:tcBorders>
            <w:shd w:val="clear" w:color="auto" w:fill="FBD4B4" w:themeFill="accent6" w:themeFillTint="66"/>
            <w:tcMar>
              <w:top w:w="150" w:type="dxa"/>
              <w:left w:w="150" w:type="dxa"/>
              <w:bottom w:w="150" w:type="dxa"/>
              <w:right w:w="150" w:type="dxa"/>
            </w:tcMar>
            <w:hideMark/>
          </w:tcPr>
          <w:p w14:paraId="1788562C" w14:textId="77777777" w:rsidR="00F25518" w:rsidRPr="00F25518" w:rsidRDefault="00F25518" w:rsidP="00CA0ED5">
            <w:pPr>
              <w:spacing w:after="0" w:line="330" w:lineRule="atLeast"/>
              <w:rPr>
                <w:rFonts w:cs="Calibri"/>
                <w:b/>
                <w:color w:val="632423" w:themeColor="accent2" w:themeShade="80"/>
                <w:sz w:val="24"/>
                <w:szCs w:val="24"/>
              </w:rPr>
            </w:pPr>
            <w:r w:rsidRPr="00F25518">
              <w:rPr>
                <w:rFonts w:cs="Calibri"/>
                <w:b/>
                <w:color w:val="632423" w:themeColor="accent2" w:themeShade="80"/>
                <w:sz w:val="24"/>
                <w:szCs w:val="24"/>
              </w:rPr>
              <w:t>Inspire and empower people to reach their potential</w:t>
            </w:r>
          </w:p>
        </w:tc>
        <w:tc>
          <w:tcPr>
            <w:tcW w:w="6803" w:type="dxa"/>
            <w:tcBorders>
              <w:top w:val="single" w:sz="6" w:space="0" w:color="DCDCDC"/>
              <w:left w:val="single" w:sz="6" w:space="0" w:color="DCDCDC"/>
              <w:bottom w:val="single" w:sz="6" w:space="0" w:color="DCDCDC"/>
              <w:right w:val="single" w:sz="6" w:space="0" w:color="DCDCDC"/>
            </w:tcBorders>
            <w:shd w:val="clear" w:color="auto" w:fill="FBD4B4" w:themeFill="accent6" w:themeFillTint="66"/>
            <w:tcMar>
              <w:top w:w="150" w:type="dxa"/>
              <w:left w:w="150" w:type="dxa"/>
              <w:bottom w:w="150" w:type="dxa"/>
              <w:right w:w="150" w:type="dxa"/>
            </w:tcMar>
            <w:hideMark/>
          </w:tcPr>
          <w:p w14:paraId="645E9AD7" w14:textId="77777777" w:rsidR="00F25518" w:rsidRPr="00F25518" w:rsidRDefault="00F25518" w:rsidP="00CA0ED5">
            <w:pPr>
              <w:spacing w:after="0" w:line="330" w:lineRule="atLeast"/>
              <w:rPr>
                <w:rFonts w:cs="Calibri"/>
                <w:b/>
                <w:color w:val="632423" w:themeColor="accent2" w:themeShade="80"/>
                <w:sz w:val="24"/>
                <w:szCs w:val="24"/>
              </w:rPr>
            </w:pPr>
            <w:bookmarkStart w:id="0" w:name="_Hlk212025755"/>
            <w:r w:rsidRPr="00F25518">
              <w:rPr>
                <w:rFonts w:cs="Calibri"/>
                <w:b/>
                <w:color w:val="632423" w:themeColor="accent2" w:themeShade="80"/>
                <w:sz w:val="24"/>
                <w:szCs w:val="24"/>
              </w:rPr>
              <w:t>Deliver IAG that is tailored to individual needs, respecting diverse communication styles and cultural backgrounds</w:t>
            </w:r>
            <w:bookmarkEnd w:id="0"/>
          </w:p>
        </w:tc>
      </w:tr>
    </w:tbl>
    <w:p w14:paraId="3C648F28" w14:textId="77777777" w:rsidR="00F25518" w:rsidRPr="00F25518" w:rsidRDefault="00F25518" w:rsidP="00F25518">
      <w:pPr>
        <w:shd w:val="clear" w:color="auto" w:fill="FFFFFF"/>
        <w:spacing w:after="0" w:line="686" w:lineRule="atLeast"/>
        <w:textAlignment w:val="baseline"/>
        <w:outlineLvl w:val="1"/>
        <w:rPr>
          <w:rFonts w:cs="Calibri"/>
          <w:b/>
          <w:bCs/>
          <w:color w:val="4D5B54"/>
          <w:sz w:val="24"/>
          <w:szCs w:val="24"/>
          <w:bdr w:val="none" w:sz="0" w:space="0" w:color="auto" w:frame="1"/>
        </w:rPr>
      </w:pPr>
    </w:p>
    <w:p w14:paraId="78D4C9F2" w14:textId="77777777" w:rsidR="00F25518" w:rsidRPr="00F25518" w:rsidRDefault="00F25518" w:rsidP="00F25518">
      <w:pPr>
        <w:shd w:val="clear" w:color="auto" w:fill="FFFFFF"/>
        <w:spacing w:after="0"/>
        <w:ind w:left="720"/>
        <w:textAlignment w:val="baseline"/>
        <w:rPr>
          <w:rFonts w:cs="Calibri"/>
          <w:color w:val="000000"/>
          <w:sz w:val="24"/>
          <w:szCs w:val="24"/>
        </w:rPr>
      </w:pPr>
    </w:p>
    <w:p w14:paraId="16542FA5" w14:textId="26A2FF22" w:rsidR="00F25518" w:rsidRDefault="00F25518" w:rsidP="00F25518">
      <w:pPr>
        <w:shd w:val="clear" w:color="auto" w:fill="FFFFFF"/>
        <w:spacing w:after="0" w:line="389" w:lineRule="atLeast"/>
        <w:textAlignment w:val="baseline"/>
        <w:rPr>
          <w:rFonts w:cs="Calibri"/>
          <w:sz w:val="24"/>
          <w:szCs w:val="24"/>
        </w:rPr>
      </w:pPr>
      <w:r w:rsidRPr="00F25518">
        <w:rPr>
          <w:rFonts w:cs="Calibri"/>
          <w:sz w:val="24"/>
          <w:szCs w:val="24"/>
        </w:rPr>
        <w:t>Our IAG service will always be person</w:t>
      </w:r>
      <w:r w:rsidR="00BD3E6A">
        <w:rPr>
          <w:rFonts w:cs="Calibri"/>
          <w:sz w:val="24"/>
          <w:szCs w:val="24"/>
        </w:rPr>
        <w:t>-</w:t>
      </w:r>
      <w:r w:rsidRPr="00F25518">
        <w:rPr>
          <w:rFonts w:cs="Calibri"/>
          <w:sz w:val="24"/>
          <w:szCs w:val="24"/>
        </w:rPr>
        <w:t xml:space="preserve">centred and will address equality and promote diversity. Information and advice giving will take account of the requirements of individuals who use alternative forms of </w:t>
      </w:r>
      <w:r w:rsidR="00BD3E6A" w:rsidRPr="00F25518">
        <w:rPr>
          <w:rFonts w:cs="Calibri"/>
          <w:sz w:val="24"/>
          <w:szCs w:val="24"/>
        </w:rPr>
        <w:t>communication,</w:t>
      </w:r>
      <w:r w:rsidRPr="00F25518">
        <w:rPr>
          <w:rFonts w:cs="Calibri"/>
          <w:sz w:val="24"/>
          <w:szCs w:val="24"/>
        </w:rPr>
        <w:t xml:space="preserve"> and we will use a range of methods to help adults be better informed about learning opportunities for example the use of interpreters, Google translate and peer support.</w:t>
      </w:r>
    </w:p>
    <w:p w14:paraId="0DE42084" w14:textId="77777777" w:rsidR="0095372A" w:rsidRPr="00F25518" w:rsidRDefault="0095372A" w:rsidP="00F25518">
      <w:pPr>
        <w:shd w:val="clear" w:color="auto" w:fill="FFFFFF"/>
        <w:spacing w:after="0" w:line="389" w:lineRule="atLeast"/>
        <w:textAlignment w:val="baseline"/>
        <w:rPr>
          <w:rFonts w:cs="Calibri"/>
          <w:sz w:val="24"/>
          <w:szCs w:val="24"/>
        </w:rPr>
      </w:pPr>
    </w:p>
    <w:p w14:paraId="36B4819E" w14:textId="77777777" w:rsidR="00F25518" w:rsidRPr="00F25518" w:rsidRDefault="00F25518" w:rsidP="00F25518">
      <w:pPr>
        <w:shd w:val="clear" w:color="auto" w:fill="FFFFFF"/>
        <w:spacing w:after="0" w:line="479" w:lineRule="atLeast"/>
        <w:textAlignment w:val="baseline"/>
        <w:outlineLvl w:val="2"/>
        <w:rPr>
          <w:rFonts w:cs="Calibri"/>
          <w:bCs/>
          <w:sz w:val="24"/>
          <w:szCs w:val="24"/>
          <w:bdr w:val="none" w:sz="0" w:space="0" w:color="auto" w:frame="1"/>
        </w:rPr>
      </w:pPr>
    </w:p>
    <w:p w14:paraId="5797FE23" w14:textId="62471BEF" w:rsidR="00F25518" w:rsidRPr="00F25518" w:rsidRDefault="00F25518" w:rsidP="00F25518">
      <w:pPr>
        <w:shd w:val="clear" w:color="auto" w:fill="FFFFFF"/>
        <w:spacing w:after="0" w:line="479" w:lineRule="atLeast"/>
        <w:textAlignment w:val="baseline"/>
        <w:outlineLvl w:val="2"/>
        <w:rPr>
          <w:rFonts w:cs="Calibri"/>
          <w:b/>
          <w:bCs/>
          <w:sz w:val="32"/>
          <w:szCs w:val="32"/>
        </w:rPr>
      </w:pPr>
      <w:r w:rsidRPr="00F25518">
        <w:rPr>
          <w:rFonts w:cs="Calibri"/>
          <w:b/>
          <w:bCs/>
          <w:sz w:val="32"/>
          <w:szCs w:val="32"/>
        </w:rPr>
        <w:t>The key objectives of our strategy are:</w:t>
      </w:r>
    </w:p>
    <w:p w14:paraId="7CFD58EE" w14:textId="11CE0D09" w:rsidR="00F25518" w:rsidRPr="00F25518" w:rsidRDefault="00F25518" w:rsidP="00F25518">
      <w:pPr>
        <w:numPr>
          <w:ilvl w:val="0"/>
          <w:numId w:val="48"/>
        </w:numPr>
        <w:shd w:val="clear" w:color="auto" w:fill="FFFFFF"/>
        <w:spacing w:after="0" w:line="389" w:lineRule="atLeast"/>
        <w:textAlignment w:val="baseline"/>
        <w:rPr>
          <w:rFonts w:cs="Calibri"/>
          <w:spacing w:val="2"/>
          <w:sz w:val="24"/>
          <w:szCs w:val="24"/>
        </w:rPr>
      </w:pPr>
      <w:r w:rsidRPr="00F25518">
        <w:rPr>
          <w:rFonts w:cs="Calibri"/>
          <w:spacing w:val="2"/>
          <w:sz w:val="24"/>
          <w:szCs w:val="24"/>
        </w:rPr>
        <w:t xml:space="preserve">To provide </w:t>
      </w:r>
      <w:r w:rsidR="00BD3E6A">
        <w:rPr>
          <w:rFonts w:cs="Calibri"/>
          <w:spacing w:val="2"/>
          <w:sz w:val="24"/>
          <w:szCs w:val="24"/>
        </w:rPr>
        <w:t>learners</w:t>
      </w:r>
      <w:r w:rsidRPr="00F25518">
        <w:rPr>
          <w:rFonts w:cs="Calibri"/>
          <w:spacing w:val="2"/>
          <w:sz w:val="24"/>
          <w:szCs w:val="24"/>
        </w:rPr>
        <w:t xml:space="preserve"> with clear information</w:t>
      </w:r>
      <w:r w:rsidR="00BD3E6A">
        <w:rPr>
          <w:rFonts w:cs="Calibri"/>
          <w:spacing w:val="2"/>
          <w:sz w:val="24"/>
          <w:szCs w:val="24"/>
        </w:rPr>
        <w:t xml:space="preserve">, advice and guidance </w:t>
      </w:r>
      <w:r w:rsidRPr="00F25518">
        <w:rPr>
          <w:rFonts w:cs="Calibri"/>
          <w:spacing w:val="2"/>
          <w:sz w:val="24"/>
          <w:szCs w:val="24"/>
        </w:rPr>
        <w:t>to</w:t>
      </w:r>
      <w:r w:rsidR="00BD3E6A">
        <w:rPr>
          <w:rFonts w:cs="Calibri"/>
          <w:spacing w:val="2"/>
          <w:sz w:val="24"/>
          <w:szCs w:val="24"/>
        </w:rPr>
        <w:t xml:space="preserve"> enable them to</w:t>
      </w:r>
      <w:r w:rsidRPr="00F25518">
        <w:rPr>
          <w:rFonts w:cs="Calibri"/>
          <w:spacing w:val="2"/>
          <w:sz w:val="24"/>
          <w:szCs w:val="24"/>
        </w:rPr>
        <w:t xml:space="preserve"> make informed choices about their learning </w:t>
      </w:r>
      <w:r w:rsidR="00BD3E6A">
        <w:rPr>
          <w:rFonts w:cs="Calibri"/>
          <w:spacing w:val="2"/>
          <w:sz w:val="24"/>
          <w:szCs w:val="24"/>
        </w:rPr>
        <w:t xml:space="preserve">both </w:t>
      </w:r>
      <w:r w:rsidRPr="00F25518">
        <w:rPr>
          <w:rFonts w:cs="Calibri"/>
          <w:spacing w:val="2"/>
          <w:sz w:val="24"/>
          <w:szCs w:val="24"/>
        </w:rPr>
        <w:t>within and beyond the service.</w:t>
      </w:r>
    </w:p>
    <w:p w14:paraId="1E49A8F6" w14:textId="2DC53635" w:rsidR="00F25518" w:rsidRPr="00F25518" w:rsidRDefault="00F25518" w:rsidP="00F25518">
      <w:pPr>
        <w:numPr>
          <w:ilvl w:val="0"/>
          <w:numId w:val="48"/>
        </w:numPr>
        <w:shd w:val="clear" w:color="auto" w:fill="FFFFFF"/>
        <w:spacing w:after="0" w:line="389" w:lineRule="atLeast"/>
        <w:textAlignment w:val="baseline"/>
        <w:rPr>
          <w:rFonts w:cs="Calibri"/>
          <w:spacing w:val="2"/>
          <w:sz w:val="24"/>
          <w:szCs w:val="24"/>
        </w:rPr>
      </w:pPr>
      <w:r w:rsidRPr="00F25518">
        <w:rPr>
          <w:rFonts w:cs="Calibri"/>
          <w:spacing w:val="2"/>
          <w:sz w:val="24"/>
          <w:szCs w:val="24"/>
        </w:rPr>
        <w:t xml:space="preserve">To enable </w:t>
      </w:r>
      <w:r w:rsidR="00CA0ED5">
        <w:rPr>
          <w:rFonts w:cs="Calibri"/>
          <w:spacing w:val="2"/>
          <w:sz w:val="24"/>
          <w:szCs w:val="24"/>
        </w:rPr>
        <w:t>colleagues</w:t>
      </w:r>
      <w:r w:rsidRPr="00F25518">
        <w:rPr>
          <w:rFonts w:cs="Calibri"/>
          <w:spacing w:val="2"/>
          <w:sz w:val="24"/>
          <w:szCs w:val="24"/>
        </w:rPr>
        <w:t xml:space="preserve"> to support learners in achieving agreed learning outcomes and personal learning goals.</w:t>
      </w:r>
    </w:p>
    <w:p w14:paraId="0AE39AA5" w14:textId="77777777" w:rsidR="00F25518" w:rsidRPr="00F25518" w:rsidRDefault="00F25518" w:rsidP="00F25518">
      <w:pPr>
        <w:numPr>
          <w:ilvl w:val="0"/>
          <w:numId w:val="48"/>
        </w:numPr>
        <w:shd w:val="clear" w:color="auto" w:fill="FFFFFF"/>
        <w:spacing w:after="0" w:line="389" w:lineRule="atLeast"/>
        <w:textAlignment w:val="baseline"/>
        <w:rPr>
          <w:rFonts w:cs="Calibri"/>
          <w:spacing w:val="2"/>
          <w:sz w:val="24"/>
          <w:szCs w:val="24"/>
        </w:rPr>
      </w:pPr>
      <w:r w:rsidRPr="00F25518">
        <w:rPr>
          <w:rFonts w:cs="Calibri"/>
          <w:spacing w:val="2"/>
          <w:sz w:val="24"/>
          <w:szCs w:val="24"/>
        </w:rPr>
        <w:t>To help learners plan their future learning to support their personal and work aspirations.</w:t>
      </w:r>
    </w:p>
    <w:p w14:paraId="58B06509" w14:textId="28D6BA0F" w:rsidR="00F25518" w:rsidRDefault="00F25518" w:rsidP="00F25518">
      <w:pPr>
        <w:numPr>
          <w:ilvl w:val="0"/>
          <w:numId w:val="48"/>
        </w:numPr>
        <w:shd w:val="clear" w:color="auto" w:fill="FFFFFF"/>
        <w:spacing w:after="0" w:line="389" w:lineRule="atLeast"/>
        <w:textAlignment w:val="baseline"/>
        <w:rPr>
          <w:rFonts w:cs="Calibri"/>
          <w:spacing w:val="2"/>
          <w:sz w:val="24"/>
          <w:szCs w:val="24"/>
        </w:rPr>
      </w:pPr>
      <w:r w:rsidRPr="00F25518">
        <w:rPr>
          <w:rFonts w:cs="Calibri"/>
          <w:spacing w:val="2"/>
          <w:sz w:val="24"/>
          <w:szCs w:val="24"/>
        </w:rPr>
        <w:t>To provide signposting and referral</w:t>
      </w:r>
      <w:r w:rsidR="00BD3E6A">
        <w:rPr>
          <w:rFonts w:cs="Calibri"/>
          <w:spacing w:val="2"/>
          <w:sz w:val="24"/>
          <w:szCs w:val="24"/>
        </w:rPr>
        <w:t>s</w:t>
      </w:r>
      <w:r w:rsidRPr="00F25518">
        <w:rPr>
          <w:rFonts w:cs="Calibri"/>
          <w:spacing w:val="2"/>
          <w:sz w:val="24"/>
          <w:szCs w:val="24"/>
        </w:rPr>
        <w:t xml:space="preserve"> to other services if required</w:t>
      </w:r>
    </w:p>
    <w:p w14:paraId="0420B16F" w14:textId="77777777" w:rsidR="00F25518" w:rsidRPr="00F25518" w:rsidRDefault="00F25518" w:rsidP="00F25518">
      <w:pPr>
        <w:shd w:val="clear" w:color="auto" w:fill="FFFFFF"/>
        <w:spacing w:after="0" w:line="389" w:lineRule="atLeast"/>
        <w:ind w:left="720"/>
        <w:textAlignment w:val="baseline"/>
        <w:rPr>
          <w:rFonts w:cs="Calibri"/>
          <w:spacing w:val="2"/>
          <w:sz w:val="24"/>
          <w:szCs w:val="24"/>
        </w:rPr>
      </w:pPr>
    </w:p>
    <w:p w14:paraId="0220F3D9"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 w:val="32"/>
          <w:szCs w:val="32"/>
        </w:rPr>
        <w:t>Our objectives and target activity for 2025/26</w:t>
      </w:r>
    </w:p>
    <w:p w14:paraId="45377CAF" w14:textId="77777777" w:rsidR="00F25518" w:rsidRPr="00F25518" w:rsidRDefault="00F25518" w:rsidP="00F25518">
      <w:pPr>
        <w:shd w:val="clear" w:color="auto" w:fill="FFFFFF"/>
        <w:spacing w:after="0" w:line="389" w:lineRule="atLeast"/>
        <w:textAlignment w:val="baseline"/>
        <w:rPr>
          <w:rFonts w:cs="Calibri"/>
          <w:sz w:val="24"/>
          <w:szCs w:val="24"/>
        </w:rPr>
      </w:pPr>
    </w:p>
    <w:tbl>
      <w:tblPr>
        <w:tblStyle w:val="TableGrid1"/>
        <w:tblW w:w="5000" w:type="pct"/>
        <w:tblLook w:val="04A0" w:firstRow="1" w:lastRow="0" w:firstColumn="1" w:lastColumn="0" w:noHBand="0" w:noVBand="1"/>
      </w:tblPr>
      <w:tblGrid>
        <w:gridCol w:w="1685"/>
        <w:gridCol w:w="5113"/>
        <w:gridCol w:w="4302"/>
        <w:gridCol w:w="2848"/>
      </w:tblGrid>
      <w:tr w:rsidR="00F25518" w:rsidRPr="00F25518" w14:paraId="46BC478E" w14:textId="77777777" w:rsidTr="006D3541">
        <w:tc>
          <w:tcPr>
            <w:tcW w:w="604" w:type="pct"/>
            <w:shd w:val="clear" w:color="auto" w:fill="FBD4B4" w:themeFill="accent6" w:themeFillTint="66"/>
            <w:hideMark/>
          </w:tcPr>
          <w:p w14:paraId="7CB72FE5" w14:textId="77777777" w:rsidR="00F25518" w:rsidRPr="00F25518" w:rsidRDefault="00F25518" w:rsidP="00F25518">
            <w:pPr>
              <w:rPr>
                <w:b/>
                <w:bCs/>
                <w:szCs w:val="28"/>
              </w:rPr>
            </w:pPr>
            <w:r w:rsidRPr="00F25518">
              <w:rPr>
                <w:b/>
                <w:bCs/>
                <w:szCs w:val="28"/>
              </w:rPr>
              <w:t>Area</w:t>
            </w:r>
          </w:p>
        </w:tc>
        <w:tc>
          <w:tcPr>
            <w:tcW w:w="1833" w:type="pct"/>
            <w:shd w:val="clear" w:color="auto" w:fill="FBD4B4" w:themeFill="accent6" w:themeFillTint="66"/>
            <w:hideMark/>
          </w:tcPr>
          <w:p w14:paraId="1AB571BC" w14:textId="77777777" w:rsidR="00F25518" w:rsidRPr="00F25518" w:rsidRDefault="00F25518" w:rsidP="00F25518">
            <w:pPr>
              <w:rPr>
                <w:b/>
                <w:bCs/>
                <w:szCs w:val="28"/>
              </w:rPr>
            </w:pPr>
            <w:r w:rsidRPr="00F25518">
              <w:rPr>
                <w:b/>
                <w:bCs/>
                <w:szCs w:val="28"/>
              </w:rPr>
              <w:t>Delivery</w:t>
            </w:r>
          </w:p>
        </w:tc>
        <w:tc>
          <w:tcPr>
            <w:tcW w:w="1542" w:type="pct"/>
            <w:shd w:val="clear" w:color="auto" w:fill="FBD4B4" w:themeFill="accent6" w:themeFillTint="66"/>
            <w:hideMark/>
          </w:tcPr>
          <w:p w14:paraId="3DD8F16B" w14:textId="77777777" w:rsidR="00F25518" w:rsidRPr="00F25518" w:rsidRDefault="00F25518" w:rsidP="00F25518">
            <w:pPr>
              <w:rPr>
                <w:b/>
                <w:bCs/>
                <w:szCs w:val="28"/>
              </w:rPr>
            </w:pPr>
            <w:r w:rsidRPr="00F25518">
              <w:rPr>
                <w:b/>
                <w:bCs/>
                <w:szCs w:val="28"/>
              </w:rPr>
              <w:t>Actions</w:t>
            </w:r>
          </w:p>
        </w:tc>
        <w:tc>
          <w:tcPr>
            <w:tcW w:w="1021" w:type="pct"/>
            <w:shd w:val="clear" w:color="auto" w:fill="FBD4B4" w:themeFill="accent6" w:themeFillTint="66"/>
            <w:hideMark/>
          </w:tcPr>
          <w:p w14:paraId="46B27195" w14:textId="77777777" w:rsidR="00F25518" w:rsidRPr="00F25518" w:rsidRDefault="00F25518" w:rsidP="00F25518">
            <w:pPr>
              <w:rPr>
                <w:b/>
                <w:bCs/>
                <w:szCs w:val="28"/>
              </w:rPr>
            </w:pPr>
            <w:r w:rsidRPr="00F25518">
              <w:rPr>
                <w:b/>
                <w:bCs/>
                <w:szCs w:val="28"/>
              </w:rPr>
              <w:t>Roles/Responsibilities </w:t>
            </w:r>
          </w:p>
        </w:tc>
      </w:tr>
      <w:tr w:rsidR="00F25518" w:rsidRPr="00F25518" w14:paraId="249894E2" w14:textId="77777777" w:rsidTr="006D3541">
        <w:tc>
          <w:tcPr>
            <w:tcW w:w="604" w:type="pct"/>
            <w:vMerge w:val="restart"/>
            <w:hideMark/>
          </w:tcPr>
          <w:p w14:paraId="4011F80A"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Cs w:val="28"/>
                <w:bdr w:val="none" w:sz="0" w:space="0" w:color="auto" w:frame="1"/>
              </w:rPr>
              <w:t>Planning</w:t>
            </w:r>
          </w:p>
        </w:tc>
        <w:tc>
          <w:tcPr>
            <w:tcW w:w="1833" w:type="pct"/>
            <w:hideMark/>
          </w:tcPr>
          <w:p w14:paraId="0C656F3A" w14:textId="69D13A0B"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Colleague</w:t>
            </w:r>
            <w:r w:rsidR="00F25518" w:rsidRPr="00BD3E6A">
              <w:rPr>
                <w:rFonts w:asciiTheme="minorHAnsi" w:hAnsiTheme="minorHAnsi" w:cstheme="minorHAnsi"/>
                <w:color w:val="auto"/>
                <w:sz w:val="24"/>
                <w:szCs w:val="24"/>
              </w:rPr>
              <w:t xml:space="preserve"> awareness of any programme changes to enable provision of accurate teaching and learning, training and employment advice</w:t>
            </w:r>
          </w:p>
        </w:tc>
        <w:tc>
          <w:tcPr>
            <w:tcW w:w="1542" w:type="pct"/>
            <w:hideMark/>
          </w:tcPr>
          <w:p w14:paraId="1B5520C1" w14:textId="77777777" w:rsidR="00F25518" w:rsidRDefault="001714E0" w:rsidP="00F25518">
            <w:pPr>
              <w:spacing w:after="0" w:line="360" w:lineRule="auto"/>
              <w:rPr>
                <w:rFonts w:asciiTheme="minorHAnsi" w:hAnsiTheme="minorHAnsi" w:cstheme="minorHAnsi"/>
                <w:color w:val="auto"/>
                <w:sz w:val="24"/>
                <w:szCs w:val="24"/>
              </w:rPr>
            </w:pPr>
            <w:r>
              <w:rPr>
                <w:rFonts w:asciiTheme="minorHAnsi" w:hAnsiTheme="minorHAnsi" w:cstheme="minorHAnsi"/>
                <w:color w:val="auto"/>
                <w:sz w:val="24"/>
                <w:szCs w:val="24"/>
              </w:rPr>
              <w:t>Weekly ESOL Meetings</w:t>
            </w:r>
          </w:p>
          <w:p w14:paraId="5CFAB3E1" w14:textId="77777777" w:rsidR="001714E0" w:rsidRDefault="001714E0" w:rsidP="00F25518">
            <w:pPr>
              <w:spacing w:after="0" w:line="360" w:lineRule="auto"/>
              <w:rPr>
                <w:rFonts w:asciiTheme="minorHAnsi" w:hAnsiTheme="minorHAnsi" w:cstheme="minorHAnsi"/>
                <w:color w:val="auto"/>
                <w:sz w:val="24"/>
                <w:szCs w:val="24"/>
              </w:rPr>
            </w:pPr>
            <w:r>
              <w:rPr>
                <w:rFonts w:asciiTheme="minorHAnsi" w:hAnsiTheme="minorHAnsi" w:cstheme="minorHAnsi"/>
                <w:color w:val="auto"/>
                <w:sz w:val="24"/>
                <w:szCs w:val="24"/>
              </w:rPr>
              <w:t>Colleague Consultation Days</w:t>
            </w:r>
          </w:p>
          <w:p w14:paraId="2A68C483" w14:textId="77CB2724" w:rsidR="001714E0" w:rsidRPr="00BD3E6A" w:rsidRDefault="001714E0" w:rsidP="00F25518">
            <w:pPr>
              <w:spacing w:after="0" w:line="360" w:lineRule="auto"/>
              <w:rPr>
                <w:rFonts w:asciiTheme="minorHAnsi" w:hAnsiTheme="minorHAnsi" w:cstheme="minorHAnsi"/>
                <w:color w:val="auto"/>
                <w:sz w:val="24"/>
                <w:szCs w:val="24"/>
              </w:rPr>
            </w:pPr>
            <w:r>
              <w:rPr>
                <w:rFonts w:asciiTheme="minorHAnsi" w:hAnsiTheme="minorHAnsi" w:cstheme="minorHAnsi"/>
                <w:color w:val="auto"/>
                <w:sz w:val="24"/>
                <w:szCs w:val="24"/>
              </w:rPr>
              <w:t>Quarterly 1-2-1s</w:t>
            </w:r>
          </w:p>
        </w:tc>
        <w:tc>
          <w:tcPr>
            <w:tcW w:w="1021" w:type="pct"/>
            <w:hideMark/>
          </w:tcPr>
          <w:p w14:paraId="10479129" w14:textId="5E9629AA" w:rsidR="00F25518" w:rsidRPr="00BD3E6A" w:rsidRDefault="00F25518" w:rsidP="00F25518">
            <w:pPr>
              <w:spacing w:after="0"/>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Education and Training Lead </w:t>
            </w:r>
            <w:r w:rsidR="001714E0">
              <w:rPr>
                <w:rFonts w:asciiTheme="minorHAnsi" w:hAnsiTheme="minorHAnsi" w:cstheme="minorHAnsi"/>
                <w:color w:val="auto"/>
                <w:sz w:val="24"/>
                <w:szCs w:val="24"/>
              </w:rPr>
              <w:t>and Education and Training Managers</w:t>
            </w:r>
          </w:p>
        </w:tc>
      </w:tr>
      <w:tr w:rsidR="00F25518" w:rsidRPr="00F25518" w14:paraId="10C34B97" w14:textId="77777777" w:rsidTr="006D3541">
        <w:tc>
          <w:tcPr>
            <w:tcW w:w="604" w:type="pct"/>
            <w:vMerge/>
            <w:hideMark/>
          </w:tcPr>
          <w:p w14:paraId="0C94646B"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33DD06D5"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Learners and potential learners to receive clear, accurate, up to date, and impartial information before committing to a course or employment programme</w:t>
            </w:r>
          </w:p>
        </w:tc>
        <w:tc>
          <w:tcPr>
            <w:tcW w:w="1542" w:type="pct"/>
            <w:hideMark/>
          </w:tcPr>
          <w:p w14:paraId="415BE86E"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All documents to be kept up to date with correct information.</w:t>
            </w:r>
            <w:r w:rsidRPr="00BD3E6A">
              <w:rPr>
                <w:rFonts w:asciiTheme="minorHAnsi" w:hAnsiTheme="minorHAnsi" w:cstheme="minorHAnsi"/>
                <w:color w:val="auto"/>
                <w:sz w:val="24"/>
                <w:szCs w:val="24"/>
              </w:rPr>
              <w:br/>
              <w:t>They should show the prior knowledge/skills required, level of commitment needed and progression opportunities.</w:t>
            </w:r>
          </w:p>
        </w:tc>
        <w:tc>
          <w:tcPr>
            <w:tcW w:w="1021" w:type="pct"/>
            <w:hideMark/>
          </w:tcPr>
          <w:p w14:paraId="7DF08FA3" w14:textId="436DFB46" w:rsidR="00F25518" w:rsidRPr="00BD3E6A" w:rsidRDefault="00F25518" w:rsidP="00F25518">
            <w:pPr>
              <w:spacing w:after="0"/>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All HHTC </w:t>
            </w:r>
            <w:r w:rsidR="00CA0ED5" w:rsidRPr="00BD3E6A">
              <w:rPr>
                <w:rFonts w:asciiTheme="minorHAnsi" w:hAnsiTheme="minorHAnsi" w:cstheme="minorHAnsi"/>
                <w:color w:val="auto"/>
                <w:sz w:val="24"/>
                <w:szCs w:val="24"/>
              </w:rPr>
              <w:t>colleagues</w:t>
            </w:r>
          </w:p>
        </w:tc>
      </w:tr>
      <w:tr w:rsidR="00F25518" w:rsidRPr="00F25518" w14:paraId="7858FB70" w14:textId="77777777" w:rsidTr="006D3541">
        <w:tc>
          <w:tcPr>
            <w:tcW w:w="604" w:type="pct"/>
            <w:vMerge w:val="restart"/>
            <w:hideMark/>
          </w:tcPr>
          <w:p w14:paraId="2F379E92"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Cs w:val="28"/>
                <w:bdr w:val="none" w:sz="0" w:space="0" w:color="auto" w:frame="1"/>
              </w:rPr>
              <w:lastRenderedPageBreak/>
              <w:t>Initial Contact</w:t>
            </w:r>
          </w:p>
        </w:tc>
        <w:tc>
          <w:tcPr>
            <w:tcW w:w="1833" w:type="pct"/>
            <w:hideMark/>
          </w:tcPr>
          <w:p w14:paraId="03CB2228"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Telephone and face to face interactions to be professional, accurate and timely with the provision of initial information and advice.</w:t>
            </w:r>
          </w:p>
        </w:tc>
        <w:tc>
          <w:tcPr>
            <w:tcW w:w="1542" w:type="pct"/>
            <w:hideMark/>
          </w:tcPr>
          <w:p w14:paraId="22EA0737" w14:textId="6AB922AD"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Colleagues</w:t>
            </w:r>
            <w:r w:rsidR="00F25518" w:rsidRPr="00BD3E6A">
              <w:rPr>
                <w:rFonts w:asciiTheme="minorHAnsi" w:hAnsiTheme="minorHAnsi" w:cstheme="minorHAnsi"/>
                <w:color w:val="auto"/>
                <w:sz w:val="24"/>
                <w:szCs w:val="24"/>
              </w:rPr>
              <w:t xml:space="preserve"> to provide sufficient detailed course information and advice (as required) to enable learners to make decisions.</w:t>
            </w:r>
          </w:p>
        </w:tc>
        <w:tc>
          <w:tcPr>
            <w:tcW w:w="1021" w:type="pct"/>
            <w:hideMark/>
          </w:tcPr>
          <w:p w14:paraId="072382AE" w14:textId="37666342"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All HHTC colleagues</w:t>
            </w:r>
          </w:p>
        </w:tc>
      </w:tr>
      <w:tr w:rsidR="00F25518" w:rsidRPr="00F25518" w14:paraId="30D68E9F" w14:textId="77777777" w:rsidTr="006D3541">
        <w:tc>
          <w:tcPr>
            <w:tcW w:w="604" w:type="pct"/>
            <w:vMerge/>
            <w:hideMark/>
          </w:tcPr>
          <w:p w14:paraId="08B2FAAA"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554712B7" w14:textId="39D28656"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Colleagues</w:t>
            </w:r>
            <w:r w:rsidR="00F25518" w:rsidRPr="00BD3E6A">
              <w:rPr>
                <w:rFonts w:asciiTheme="minorHAnsi" w:hAnsiTheme="minorHAnsi" w:cstheme="minorHAnsi"/>
                <w:color w:val="auto"/>
                <w:sz w:val="24"/>
                <w:szCs w:val="24"/>
              </w:rPr>
              <w:t xml:space="preserve"> available to offer information and support with initial assessment and onward progression, ensuring learners are appropriately supported from first contact.</w:t>
            </w:r>
          </w:p>
        </w:tc>
        <w:tc>
          <w:tcPr>
            <w:tcW w:w="1542" w:type="pct"/>
            <w:hideMark/>
          </w:tcPr>
          <w:p w14:paraId="22A5D0D9"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Information about the support available and routes of progression is given to the learner.</w:t>
            </w:r>
          </w:p>
        </w:tc>
        <w:tc>
          <w:tcPr>
            <w:tcW w:w="1021" w:type="pct"/>
            <w:hideMark/>
          </w:tcPr>
          <w:p w14:paraId="7FEC8C7D" w14:textId="049B54F3" w:rsidR="00F25518" w:rsidRPr="00BD3E6A" w:rsidRDefault="00CA0ED5" w:rsidP="00F25518">
            <w:pPr>
              <w:spacing w:after="0" w:line="24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All HHTC colleagues </w:t>
            </w:r>
          </w:p>
        </w:tc>
      </w:tr>
      <w:tr w:rsidR="00F25518" w:rsidRPr="00F25518" w14:paraId="63EAC566" w14:textId="77777777" w:rsidTr="006D3541">
        <w:tc>
          <w:tcPr>
            <w:tcW w:w="604" w:type="pct"/>
            <w:vMerge w:val="restart"/>
            <w:hideMark/>
          </w:tcPr>
          <w:p w14:paraId="322A434D" w14:textId="0557F62F"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Cs w:val="28"/>
                <w:bdr w:val="none" w:sz="0" w:space="0" w:color="auto" w:frame="1"/>
              </w:rPr>
              <w:t>Information</w:t>
            </w:r>
            <w:r w:rsidR="00BD3E6A">
              <w:rPr>
                <w:rFonts w:cs="Calibri"/>
                <w:b/>
                <w:bCs/>
                <w:szCs w:val="28"/>
                <w:bdr w:val="none" w:sz="0" w:space="0" w:color="auto" w:frame="1"/>
              </w:rPr>
              <w:t xml:space="preserve">, </w:t>
            </w:r>
            <w:r w:rsidRPr="00F25518">
              <w:rPr>
                <w:rFonts w:cs="Calibri"/>
                <w:b/>
                <w:bCs/>
                <w:szCs w:val="28"/>
                <w:bdr w:val="none" w:sz="0" w:space="0" w:color="auto" w:frame="1"/>
              </w:rPr>
              <w:t>advice</w:t>
            </w:r>
            <w:r w:rsidR="00BD3E6A">
              <w:rPr>
                <w:rFonts w:cs="Calibri"/>
                <w:b/>
                <w:bCs/>
                <w:szCs w:val="28"/>
                <w:bdr w:val="none" w:sz="0" w:space="0" w:color="auto" w:frame="1"/>
              </w:rPr>
              <w:t xml:space="preserve"> and guidance</w:t>
            </w:r>
            <w:r w:rsidRPr="00F25518">
              <w:rPr>
                <w:rFonts w:cs="Calibri"/>
                <w:b/>
                <w:bCs/>
                <w:szCs w:val="28"/>
                <w:bdr w:val="none" w:sz="0" w:space="0" w:color="auto" w:frame="1"/>
              </w:rPr>
              <w:t xml:space="preserve"> </w:t>
            </w:r>
          </w:p>
          <w:p w14:paraId="1A64BD23"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Cs w:val="28"/>
                <w:bdr w:val="none" w:sz="0" w:space="0" w:color="auto" w:frame="1"/>
              </w:rPr>
              <w:t> </w:t>
            </w:r>
          </w:p>
          <w:p w14:paraId="25B8AB3A"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p w14:paraId="388D9CCC"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p w14:paraId="2BC517F3"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p w14:paraId="433496F3"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Cs w:val="28"/>
                <w:bdr w:val="none" w:sz="0" w:space="0" w:color="auto" w:frame="1"/>
              </w:rPr>
              <w:t> </w:t>
            </w:r>
          </w:p>
        </w:tc>
        <w:tc>
          <w:tcPr>
            <w:tcW w:w="1833" w:type="pct"/>
            <w:hideMark/>
          </w:tcPr>
          <w:p w14:paraId="538FC1AA"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Effective, clear, and positive induction experience.</w:t>
            </w:r>
          </w:p>
        </w:tc>
        <w:tc>
          <w:tcPr>
            <w:tcW w:w="1542" w:type="pct"/>
            <w:hideMark/>
          </w:tcPr>
          <w:p w14:paraId="4D058B59" w14:textId="2577B6ED" w:rsidR="00F25518" w:rsidRPr="00FF18C6" w:rsidRDefault="00F25518" w:rsidP="00FF18C6">
            <w:pPr>
              <w:pStyle w:val="ListParagraph"/>
              <w:numPr>
                <w:ilvl w:val="0"/>
                <w:numId w:val="50"/>
              </w:numPr>
              <w:spacing w:after="0" w:line="360" w:lineRule="auto"/>
              <w:rPr>
                <w:rFonts w:eastAsia="Calibri" w:cstheme="minorHAnsi"/>
                <w:color w:val="auto"/>
                <w:sz w:val="24"/>
                <w:szCs w:val="24"/>
              </w:rPr>
            </w:pPr>
            <w:r w:rsidRPr="00FF18C6">
              <w:rPr>
                <w:rFonts w:eastAsia="Calibri" w:cstheme="minorHAnsi"/>
                <w:color w:val="auto"/>
                <w:sz w:val="24"/>
                <w:szCs w:val="24"/>
              </w:rPr>
              <w:t xml:space="preserve">To </w:t>
            </w:r>
            <w:r w:rsidR="00FF18C6" w:rsidRPr="00FF18C6">
              <w:rPr>
                <w:rFonts w:eastAsia="Calibri" w:cstheme="minorHAnsi"/>
                <w:color w:val="auto"/>
                <w:sz w:val="24"/>
                <w:szCs w:val="24"/>
              </w:rPr>
              <w:t>ensu</w:t>
            </w:r>
            <w:r w:rsidR="00FF18C6">
              <w:rPr>
                <w:rFonts w:eastAsia="Calibri" w:cstheme="minorHAnsi"/>
                <w:color w:val="auto"/>
                <w:sz w:val="24"/>
                <w:szCs w:val="24"/>
              </w:rPr>
              <w:t>r</w:t>
            </w:r>
            <w:r w:rsidR="00FF18C6" w:rsidRPr="00FF18C6">
              <w:rPr>
                <w:rFonts w:eastAsia="Calibri" w:cstheme="minorHAnsi"/>
                <w:color w:val="auto"/>
                <w:sz w:val="24"/>
                <w:szCs w:val="24"/>
              </w:rPr>
              <w:t>e all learners</w:t>
            </w:r>
            <w:r w:rsidR="00FF18C6">
              <w:rPr>
                <w:rFonts w:eastAsia="Calibri" w:cstheme="minorHAnsi"/>
                <w:color w:val="auto"/>
                <w:sz w:val="24"/>
                <w:szCs w:val="24"/>
              </w:rPr>
              <w:t xml:space="preserve"> </w:t>
            </w:r>
            <w:r w:rsidR="00FF18C6" w:rsidRPr="00FF18C6">
              <w:rPr>
                <w:rFonts w:eastAsia="Calibri" w:cstheme="minorHAnsi"/>
                <w:color w:val="auto"/>
                <w:sz w:val="24"/>
                <w:szCs w:val="24"/>
              </w:rPr>
              <w:t xml:space="preserve">have opportunities to ask questions and set goals. </w:t>
            </w:r>
          </w:p>
          <w:p w14:paraId="68BFA115" w14:textId="77777777" w:rsidR="00F25518" w:rsidRPr="00FF18C6" w:rsidRDefault="00F25518" w:rsidP="00FF18C6">
            <w:pPr>
              <w:pStyle w:val="ListParagraph"/>
              <w:numPr>
                <w:ilvl w:val="0"/>
                <w:numId w:val="50"/>
              </w:numPr>
              <w:spacing w:after="0" w:line="360" w:lineRule="auto"/>
              <w:rPr>
                <w:rFonts w:eastAsia="Calibri" w:cstheme="minorHAnsi"/>
                <w:color w:val="auto"/>
                <w:sz w:val="24"/>
                <w:szCs w:val="24"/>
              </w:rPr>
            </w:pPr>
            <w:r w:rsidRPr="00FF18C6">
              <w:rPr>
                <w:rFonts w:eastAsia="Calibri" w:cstheme="minorHAnsi"/>
                <w:color w:val="auto"/>
                <w:sz w:val="24"/>
                <w:szCs w:val="24"/>
              </w:rPr>
              <w:t xml:space="preserve">Produce an action plan for STEP and STEP Forward </w:t>
            </w:r>
          </w:p>
          <w:p w14:paraId="1A9394F9" w14:textId="77777777" w:rsidR="00F25518" w:rsidRPr="00FF18C6" w:rsidRDefault="00F25518" w:rsidP="00FF18C6">
            <w:pPr>
              <w:pStyle w:val="ListParagraph"/>
              <w:numPr>
                <w:ilvl w:val="0"/>
                <w:numId w:val="50"/>
              </w:numPr>
              <w:spacing w:after="0" w:line="360" w:lineRule="auto"/>
              <w:rPr>
                <w:rFonts w:eastAsia="Calibri" w:cstheme="minorHAnsi"/>
                <w:color w:val="auto"/>
                <w:sz w:val="24"/>
                <w:szCs w:val="24"/>
              </w:rPr>
            </w:pPr>
            <w:r w:rsidRPr="00FF18C6">
              <w:rPr>
                <w:rFonts w:eastAsia="Calibri" w:cstheme="minorHAnsi"/>
                <w:color w:val="auto"/>
                <w:sz w:val="24"/>
                <w:szCs w:val="24"/>
              </w:rPr>
              <w:t xml:space="preserve">Offer interpreters if required and subject to funding availability </w:t>
            </w:r>
          </w:p>
          <w:p w14:paraId="2AC6CEFA" w14:textId="77777777" w:rsidR="00F25518" w:rsidRPr="00BD3E6A" w:rsidRDefault="00F25518" w:rsidP="00F25518">
            <w:pPr>
              <w:spacing w:after="0" w:line="360" w:lineRule="auto"/>
              <w:rPr>
                <w:rFonts w:asciiTheme="minorHAnsi" w:hAnsiTheme="minorHAnsi" w:cstheme="minorHAnsi"/>
                <w:color w:val="auto"/>
                <w:sz w:val="24"/>
                <w:szCs w:val="24"/>
              </w:rPr>
            </w:pPr>
          </w:p>
        </w:tc>
        <w:tc>
          <w:tcPr>
            <w:tcW w:w="1021" w:type="pct"/>
            <w:hideMark/>
          </w:tcPr>
          <w:p w14:paraId="01AEDC41" w14:textId="74B6EA9F"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All HHTC colleagues</w:t>
            </w:r>
          </w:p>
          <w:p w14:paraId="2C444E54" w14:textId="77777777" w:rsidR="00F25518" w:rsidRPr="00BD3E6A" w:rsidRDefault="00F25518" w:rsidP="00F25518">
            <w:pPr>
              <w:spacing w:after="0" w:line="360" w:lineRule="auto"/>
              <w:rPr>
                <w:rFonts w:asciiTheme="minorHAnsi" w:hAnsiTheme="minorHAnsi" w:cstheme="minorHAnsi"/>
                <w:color w:val="auto"/>
                <w:sz w:val="24"/>
                <w:szCs w:val="24"/>
              </w:rPr>
            </w:pPr>
          </w:p>
          <w:p w14:paraId="537DC682" w14:textId="77777777" w:rsidR="00F25518" w:rsidRPr="00BD3E6A" w:rsidRDefault="00F25518" w:rsidP="00F25518">
            <w:pPr>
              <w:spacing w:after="0" w:line="360" w:lineRule="auto"/>
              <w:rPr>
                <w:rFonts w:asciiTheme="minorHAnsi" w:hAnsiTheme="minorHAnsi" w:cstheme="minorHAnsi"/>
                <w:color w:val="auto"/>
                <w:sz w:val="24"/>
                <w:szCs w:val="24"/>
              </w:rPr>
            </w:pPr>
          </w:p>
          <w:p w14:paraId="1B35397A" w14:textId="77777777" w:rsidR="00F25518" w:rsidRPr="00BD3E6A" w:rsidRDefault="00F25518" w:rsidP="00F25518">
            <w:pPr>
              <w:spacing w:after="0" w:line="360" w:lineRule="auto"/>
              <w:rPr>
                <w:rFonts w:asciiTheme="minorHAnsi" w:hAnsiTheme="minorHAnsi" w:cstheme="minorHAnsi"/>
                <w:color w:val="auto"/>
                <w:sz w:val="24"/>
                <w:szCs w:val="24"/>
              </w:rPr>
            </w:pPr>
          </w:p>
        </w:tc>
      </w:tr>
      <w:tr w:rsidR="00F25518" w:rsidRPr="00F25518" w14:paraId="3EB03663" w14:textId="77777777" w:rsidTr="006D3541">
        <w:tc>
          <w:tcPr>
            <w:tcW w:w="604" w:type="pct"/>
            <w:vMerge/>
            <w:hideMark/>
          </w:tcPr>
          <w:p w14:paraId="40A3D038"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6777B8FA"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Progression opportunities.</w:t>
            </w:r>
          </w:p>
        </w:tc>
        <w:tc>
          <w:tcPr>
            <w:tcW w:w="1542" w:type="pct"/>
            <w:hideMark/>
          </w:tcPr>
          <w:p w14:paraId="3381BD84" w14:textId="77777777" w:rsidR="00FF18C6" w:rsidRPr="00FF18C6" w:rsidRDefault="00F25518" w:rsidP="00FF18C6">
            <w:pPr>
              <w:pStyle w:val="ListParagraph"/>
              <w:numPr>
                <w:ilvl w:val="0"/>
                <w:numId w:val="51"/>
              </w:numPr>
              <w:spacing w:after="0" w:line="360" w:lineRule="auto"/>
              <w:rPr>
                <w:rFonts w:eastAsia="Calibri" w:cstheme="minorHAnsi"/>
                <w:color w:val="auto"/>
                <w:sz w:val="24"/>
                <w:szCs w:val="24"/>
              </w:rPr>
            </w:pPr>
            <w:r w:rsidRPr="00FF18C6">
              <w:rPr>
                <w:rFonts w:eastAsia="Calibri" w:cstheme="minorHAnsi"/>
                <w:color w:val="auto"/>
                <w:sz w:val="24"/>
                <w:szCs w:val="24"/>
              </w:rPr>
              <w:t xml:space="preserve">HHTC </w:t>
            </w:r>
            <w:r w:rsidR="00CA0ED5" w:rsidRPr="00FF18C6">
              <w:rPr>
                <w:rFonts w:eastAsia="Calibri" w:cstheme="minorHAnsi"/>
                <w:color w:val="auto"/>
                <w:sz w:val="24"/>
                <w:szCs w:val="24"/>
              </w:rPr>
              <w:t>Colleagues</w:t>
            </w:r>
            <w:r w:rsidRPr="00FF18C6">
              <w:rPr>
                <w:rFonts w:eastAsia="Calibri" w:cstheme="minorHAnsi"/>
                <w:color w:val="auto"/>
                <w:sz w:val="24"/>
                <w:szCs w:val="24"/>
              </w:rPr>
              <w:t xml:space="preserve"> will provide progression information and advice</w:t>
            </w:r>
            <w:r w:rsidR="00FF18C6" w:rsidRPr="00FF18C6">
              <w:rPr>
                <w:rFonts w:eastAsia="Calibri" w:cstheme="minorHAnsi"/>
                <w:color w:val="auto"/>
                <w:sz w:val="24"/>
                <w:szCs w:val="24"/>
              </w:rPr>
              <w:t xml:space="preserve"> regularly</w:t>
            </w:r>
            <w:r w:rsidRPr="00FF18C6">
              <w:rPr>
                <w:rFonts w:eastAsia="Calibri" w:cstheme="minorHAnsi"/>
                <w:color w:val="auto"/>
                <w:sz w:val="24"/>
                <w:szCs w:val="24"/>
              </w:rPr>
              <w:t xml:space="preserve">.  </w:t>
            </w:r>
          </w:p>
          <w:p w14:paraId="77003758" w14:textId="26E4D30F" w:rsidR="00F25518" w:rsidRPr="00FF18C6" w:rsidRDefault="00F25518" w:rsidP="00FF18C6">
            <w:pPr>
              <w:pStyle w:val="ListParagraph"/>
              <w:numPr>
                <w:ilvl w:val="0"/>
                <w:numId w:val="51"/>
              </w:numPr>
              <w:spacing w:after="0" w:line="360" w:lineRule="auto"/>
              <w:rPr>
                <w:rFonts w:eastAsia="Calibri" w:cstheme="minorHAnsi"/>
                <w:color w:val="auto"/>
                <w:sz w:val="24"/>
                <w:szCs w:val="24"/>
              </w:rPr>
            </w:pPr>
            <w:r w:rsidRPr="00FF18C6">
              <w:rPr>
                <w:rFonts w:eastAsia="Calibri" w:cstheme="minorHAnsi"/>
                <w:color w:val="auto"/>
                <w:sz w:val="24"/>
                <w:szCs w:val="24"/>
              </w:rPr>
              <w:lastRenderedPageBreak/>
              <w:t>Formal advice and guidance will be offered through referral to appropriate services.</w:t>
            </w:r>
          </w:p>
        </w:tc>
        <w:tc>
          <w:tcPr>
            <w:tcW w:w="1021" w:type="pct"/>
            <w:hideMark/>
          </w:tcPr>
          <w:p w14:paraId="73F95148" w14:textId="406B9B32" w:rsidR="00F25518" w:rsidRPr="00BD3E6A" w:rsidRDefault="00CA0ED5" w:rsidP="00F25518">
            <w:pPr>
              <w:spacing w:after="0" w:line="24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lastRenderedPageBreak/>
              <w:t xml:space="preserve">All HHTC colleagues </w:t>
            </w:r>
          </w:p>
        </w:tc>
      </w:tr>
      <w:tr w:rsidR="00F25518" w:rsidRPr="00F25518" w14:paraId="5B8DF409" w14:textId="77777777" w:rsidTr="006D3541">
        <w:tc>
          <w:tcPr>
            <w:tcW w:w="604" w:type="pct"/>
            <w:vMerge/>
            <w:hideMark/>
          </w:tcPr>
          <w:p w14:paraId="092337EE"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27254F46"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Accurate information and signposting to external agencies where HHTC cannot assist.  Formal guidance will be through referral to appropriate practitioners for specialist or alternative help.</w:t>
            </w:r>
          </w:p>
        </w:tc>
        <w:tc>
          <w:tcPr>
            <w:tcW w:w="1542" w:type="pct"/>
            <w:hideMark/>
          </w:tcPr>
          <w:p w14:paraId="5D5EF18A" w14:textId="332E4874"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Colleagues </w:t>
            </w:r>
            <w:r w:rsidR="00F25518" w:rsidRPr="00BD3E6A">
              <w:rPr>
                <w:rFonts w:asciiTheme="minorHAnsi" w:hAnsiTheme="minorHAnsi" w:cstheme="minorHAnsi"/>
                <w:color w:val="auto"/>
                <w:sz w:val="24"/>
                <w:szCs w:val="24"/>
              </w:rPr>
              <w:t>are provided with up-to-date information about other providers/offers to be able to signpost to external agencies as necessary (should HHTC be unable to provide a service).</w:t>
            </w:r>
          </w:p>
        </w:tc>
        <w:tc>
          <w:tcPr>
            <w:tcW w:w="1021" w:type="pct"/>
            <w:hideMark/>
          </w:tcPr>
          <w:p w14:paraId="1E65356B"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Education and Training Managers</w:t>
            </w:r>
          </w:p>
          <w:p w14:paraId="2BBF0E22" w14:textId="25C8E57C"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HHTC colleagues</w:t>
            </w:r>
          </w:p>
        </w:tc>
      </w:tr>
      <w:tr w:rsidR="00F25518" w:rsidRPr="00F25518" w14:paraId="5CB73889" w14:textId="77777777" w:rsidTr="006D3541">
        <w:tc>
          <w:tcPr>
            <w:tcW w:w="604" w:type="pct"/>
            <w:vMerge w:val="restart"/>
            <w:hideMark/>
          </w:tcPr>
          <w:p w14:paraId="6FD7D442"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Cs w:val="28"/>
                <w:bdr w:val="none" w:sz="0" w:space="0" w:color="auto" w:frame="1"/>
              </w:rPr>
              <w:t>Future progression</w:t>
            </w:r>
          </w:p>
        </w:tc>
        <w:tc>
          <w:tcPr>
            <w:tcW w:w="1833" w:type="pct"/>
            <w:hideMark/>
          </w:tcPr>
          <w:p w14:paraId="45F6E3C2"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Progression is part of every service.</w:t>
            </w:r>
          </w:p>
        </w:tc>
        <w:tc>
          <w:tcPr>
            <w:tcW w:w="1542" w:type="pct"/>
            <w:hideMark/>
          </w:tcPr>
          <w:p w14:paraId="2B8C6604" w14:textId="7751EAC4"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Options for future learning, employment and training outcomes and next steps are explained</w:t>
            </w:r>
            <w:r w:rsidR="00FF18C6">
              <w:rPr>
                <w:rFonts w:asciiTheme="minorHAnsi" w:hAnsiTheme="minorHAnsi" w:cstheme="minorHAnsi"/>
                <w:color w:val="auto"/>
                <w:sz w:val="24"/>
                <w:szCs w:val="24"/>
              </w:rPr>
              <w:t>. C</w:t>
            </w:r>
            <w:r w:rsidRPr="00BD3E6A">
              <w:rPr>
                <w:rFonts w:asciiTheme="minorHAnsi" w:hAnsiTheme="minorHAnsi" w:cstheme="minorHAnsi"/>
                <w:color w:val="auto"/>
                <w:sz w:val="24"/>
                <w:szCs w:val="24"/>
              </w:rPr>
              <w:t>lear progression route to participants</w:t>
            </w:r>
            <w:r w:rsidR="00FF18C6">
              <w:rPr>
                <w:rFonts w:asciiTheme="minorHAnsi" w:hAnsiTheme="minorHAnsi" w:cstheme="minorHAnsi"/>
                <w:color w:val="auto"/>
                <w:sz w:val="24"/>
                <w:szCs w:val="24"/>
              </w:rPr>
              <w:t xml:space="preserve"> shared</w:t>
            </w:r>
          </w:p>
        </w:tc>
        <w:tc>
          <w:tcPr>
            <w:tcW w:w="1021" w:type="pct"/>
            <w:hideMark/>
          </w:tcPr>
          <w:p w14:paraId="44326771" w14:textId="73288242"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All HHTC colleagues</w:t>
            </w:r>
          </w:p>
        </w:tc>
      </w:tr>
      <w:tr w:rsidR="00F25518" w:rsidRPr="00F25518" w14:paraId="5D150D2C" w14:textId="77777777" w:rsidTr="006D3541">
        <w:tc>
          <w:tcPr>
            <w:tcW w:w="604" w:type="pct"/>
            <w:vMerge/>
            <w:hideMark/>
          </w:tcPr>
          <w:p w14:paraId="7C00BB7A"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4325441C"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Future learning is identified.</w:t>
            </w:r>
          </w:p>
        </w:tc>
        <w:tc>
          <w:tcPr>
            <w:tcW w:w="1542" w:type="pct"/>
            <w:hideMark/>
          </w:tcPr>
          <w:p w14:paraId="07B2CBB4" w14:textId="1699F039"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Colleagues</w:t>
            </w:r>
            <w:r w:rsidR="00F25518" w:rsidRPr="00BD3E6A">
              <w:rPr>
                <w:rFonts w:asciiTheme="minorHAnsi" w:hAnsiTheme="minorHAnsi" w:cstheme="minorHAnsi"/>
                <w:color w:val="auto"/>
                <w:sz w:val="24"/>
                <w:szCs w:val="24"/>
              </w:rPr>
              <w:t xml:space="preserve"> provide Information about future learning options available at HHTC or pass details to other organisations if no course exists at HHTC</w:t>
            </w:r>
          </w:p>
        </w:tc>
        <w:tc>
          <w:tcPr>
            <w:tcW w:w="1021" w:type="pct"/>
            <w:hideMark/>
          </w:tcPr>
          <w:p w14:paraId="713D7096" w14:textId="6D2BAF1D"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All HHTC colleagues</w:t>
            </w:r>
          </w:p>
        </w:tc>
      </w:tr>
      <w:tr w:rsidR="00F25518" w:rsidRPr="00F25518" w14:paraId="54CE3875" w14:textId="77777777" w:rsidTr="006D3541">
        <w:tc>
          <w:tcPr>
            <w:tcW w:w="604" w:type="pct"/>
            <w:vMerge/>
            <w:hideMark/>
          </w:tcPr>
          <w:p w14:paraId="0BA7335E"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286A6395"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No course is available at HHTC.</w:t>
            </w:r>
          </w:p>
        </w:tc>
        <w:tc>
          <w:tcPr>
            <w:tcW w:w="1542" w:type="pct"/>
            <w:hideMark/>
          </w:tcPr>
          <w:p w14:paraId="147B1B15"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IAG given about other courses and alternative providers and recorded in ILP or an action plan </w:t>
            </w:r>
          </w:p>
        </w:tc>
        <w:tc>
          <w:tcPr>
            <w:tcW w:w="1021" w:type="pct"/>
            <w:hideMark/>
          </w:tcPr>
          <w:p w14:paraId="65891206" w14:textId="1A13F11C"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All HHTC colleagues</w:t>
            </w:r>
          </w:p>
          <w:p w14:paraId="568559AD" w14:textId="77777777" w:rsidR="00F25518" w:rsidRPr="00BD3E6A" w:rsidRDefault="00F25518" w:rsidP="00F25518">
            <w:pPr>
              <w:spacing w:after="0" w:line="360" w:lineRule="auto"/>
              <w:rPr>
                <w:rFonts w:asciiTheme="minorHAnsi" w:hAnsiTheme="minorHAnsi" w:cstheme="minorHAnsi"/>
                <w:color w:val="auto"/>
                <w:sz w:val="24"/>
                <w:szCs w:val="24"/>
              </w:rPr>
            </w:pPr>
          </w:p>
        </w:tc>
      </w:tr>
      <w:tr w:rsidR="00F25518" w:rsidRPr="00F25518" w14:paraId="6575102B" w14:textId="77777777" w:rsidTr="006D3541">
        <w:tc>
          <w:tcPr>
            <w:tcW w:w="604" w:type="pct"/>
            <w:vMerge w:val="restart"/>
            <w:hideMark/>
          </w:tcPr>
          <w:p w14:paraId="0658CEF4"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Cs w:val="28"/>
                <w:bdr w:val="none" w:sz="0" w:space="0" w:color="auto" w:frame="1"/>
              </w:rPr>
              <w:lastRenderedPageBreak/>
              <w:t xml:space="preserve">Additional support for specific learning needs </w:t>
            </w:r>
          </w:p>
          <w:p w14:paraId="18081014"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p w14:paraId="085D93E7"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p w14:paraId="08FFC715"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57853304"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Provide individuals with clear information.</w:t>
            </w:r>
          </w:p>
          <w:p w14:paraId="2C02F7BF" w14:textId="77777777" w:rsidR="00F25518" w:rsidRPr="00BD3E6A" w:rsidRDefault="00F25518" w:rsidP="00F25518">
            <w:pPr>
              <w:spacing w:after="0" w:line="360" w:lineRule="auto"/>
              <w:rPr>
                <w:rFonts w:asciiTheme="minorHAnsi" w:hAnsiTheme="minorHAnsi" w:cstheme="minorHAnsi"/>
                <w:color w:val="auto"/>
                <w:sz w:val="24"/>
                <w:szCs w:val="24"/>
              </w:rPr>
            </w:pPr>
          </w:p>
        </w:tc>
        <w:tc>
          <w:tcPr>
            <w:tcW w:w="1542" w:type="pct"/>
            <w:hideMark/>
          </w:tcPr>
          <w:p w14:paraId="08E72552"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Signpost to external providers if HHTC cannot support specific individual.</w:t>
            </w:r>
          </w:p>
        </w:tc>
        <w:tc>
          <w:tcPr>
            <w:tcW w:w="1021" w:type="pct"/>
            <w:hideMark/>
          </w:tcPr>
          <w:p w14:paraId="268F607B" w14:textId="3CF9E380"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All HHTC colleagues</w:t>
            </w:r>
          </w:p>
        </w:tc>
      </w:tr>
      <w:tr w:rsidR="00F25518" w:rsidRPr="00F25518" w14:paraId="42275264" w14:textId="77777777" w:rsidTr="006D3541">
        <w:tc>
          <w:tcPr>
            <w:tcW w:w="604" w:type="pct"/>
            <w:vMerge/>
            <w:hideMark/>
          </w:tcPr>
          <w:p w14:paraId="56FA3862"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5851DD9E"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Provision of IAG and support for low level learners.</w:t>
            </w:r>
          </w:p>
        </w:tc>
        <w:tc>
          <w:tcPr>
            <w:tcW w:w="1542" w:type="pct"/>
            <w:hideMark/>
          </w:tcPr>
          <w:p w14:paraId="11D6E32D" w14:textId="1FE29767" w:rsidR="00F25518" w:rsidRPr="00FF18C6" w:rsidRDefault="00F25518" w:rsidP="00FF18C6">
            <w:pPr>
              <w:pStyle w:val="ListParagraph"/>
              <w:numPr>
                <w:ilvl w:val="0"/>
                <w:numId w:val="52"/>
              </w:numPr>
              <w:spacing w:after="0" w:line="360" w:lineRule="auto"/>
              <w:rPr>
                <w:rFonts w:eastAsia="Calibri" w:cstheme="minorHAnsi"/>
                <w:color w:val="auto"/>
                <w:sz w:val="24"/>
                <w:szCs w:val="24"/>
              </w:rPr>
            </w:pPr>
            <w:r w:rsidRPr="00FF18C6">
              <w:rPr>
                <w:rFonts w:eastAsia="Calibri" w:cstheme="minorHAnsi"/>
                <w:color w:val="auto"/>
                <w:sz w:val="24"/>
                <w:szCs w:val="24"/>
              </w:rPr>
              <w:t>HHTC can offer IAG to non-English speaking learners on an individual basis as well as practical support with enrol</w:t>
            </w:r>
            <w:r w:rsidR="00FF18C6" w:rsidRPr="00FF18C6">
              <w:rPr>
                <w:rFonts w:eastAsia="Calibri" w:cstheme="minorHAnsi"/>
                <w:color w:val="auto"/>
                <w:sz w:val="24"/>
                <w:szCs w:val="24"/>
              </w:rPr>
              <w:t>l</w:t>
            </w:r>
            <w:r w:rsidRPr="00FF18C6">
              <w:rPr>
                <w:rFonts w:eastAsia="Calibri" w:cstheme="minorHAnsi"/>
                <w:color w:val="auto"/>
                <w:sz w:val="24"/>
                <w:szCs w:val="24"/>
              </w:rPr>
              <w:t>ment and joining a group/class.</w:t>
            </w:r>
            <w:r w:rsidR="00FF18C6">
              <w:rPr>
                <w:rFonts w:eastAsia="Calibri" w:cstheme="minorHAnsi"/>
                <w:color w:val="auto"/>
                <w:sz w:val="24"/>
                <w:szCs w:val="24"/>
              </w:rPr>
              <w:t xml:space="preserve"> </w:t>
            </w:r>
            <w:r w:rsidRPr="00FF18C6">
              <w:rPr>
                <w:rFonts w:eastAsia="Calibri" w:cstheme="minorHAnsi"/>
                <w:color w:val="auto"/>
                <w:sz w:val="24"/>
                <w:szCs w:val="24"/>
              </w:rPr>
              <w:t>For example</w:t>
            </w:r>
            <w:r w:rsidR="00FF18C6" w:rsidRPr="00FF18C6">
              <w:rPr>
                <w:rFonts w:eastAsia="Calibri" w:cstheme="minorHAnsi"/>
                <w:color w:val="auto"/>
                <w:sz w:val="24"/>
                <w:szCs w:val="24"/>
              </w:rPr>
              <w:t>, f</w:t>
            </w:r>
            <w:r w:rsidRPr="00FF18C6">
              <w:rPr>
                <w:rFonts w:eastAsia="Calibri" w:cstheme="minorHAnsi"/>
                <w:color w:val="auto"/>
                <w:sz w:val="24"/>
                <w:szCs w:val="24"/>
              </w:rPr>
              <w:t xml:space="preserve">inancial </w:t>
            </w:r>
            <w:r w:rsidR="00FF18C6" w:rsidRPr="00FF18C6">
              <w:rPr>
                <w:rFonts w:eastAsia="Calibri" w:cstheme="minorHAnsi"/>
                <w:color w:val="auto"/>
                <w:sz w:val="24"/>
                <w:szCs w:val="24"/>
              </w:rPr>
              <w:t>l</w:t>
            </w:r>
            <w:r w:rsidRPr="00FF18C6">
              <w:rPr>
                <w:rFonts w:eastAsia="Calibri" w:cstheme="minorHAnsi"/>
                <w:color w:val="auto"/>
                <w:sz w:val="24"/>
                <w:szCs w:val="24"/>
              </w:rPr>
              <w:t>iteracy delivered by the Money Charity with the use of interpreters</w:t>
            </w:r>
            <w:r w:rsidR="00FF18C6" w:rsidRPr="00FF18C6">
              <w:rPr>
                <w:rFonts w:eastAsia="Calibri" w:cstheme="minorHAnsi"/>
                <w:color w:val="auto"/>
                <w:sz w:val="24"/>
                <w:szCs w:val="24"/>
              </w:rPr>
              <w:t>.</w:t>
            </w:r>
          </w:p>
          <w:p w14:paraId="7BD5F076" w14:textId="77777777" w:rsidR="00F25518" w:rsidRPr="00FF18C6" w:rsidRDefault="00F25518" w:rsidP="00FF18C6">
            <w:pPr>
              <w:pStyle w:val="ListParagraph"/>
              <w:numPr>
                <w:ilvl w:val="0"/>
                <w:numId w:val="52"/>
              </w:numPr>
              <w:spacing w:after="0" w:line="360" w:lineRule="auto"/>
              <w:rPr>
                <w:rFonts w:eastAsia="Calibri" w:cstheme="minorHAnsi"/>
                <w:color w:val="auto"/>
                <w:sz w:val="24"/>
                <w:szCs w:val="24"/>
              </w:rPr>
            </w:pPr>
            <w:r w:rsidRPr="00FF18C6">
              <w:rPr>
                <w:rFonts w:eastAsia="Calibri" w:cstheme="minorHAnsi"/>
                <w:color w:val="auto"/>
                <w:sz w:val="24"/>
                <w:szCs w:val="24"/>
              </w:rPr>
              <w:t xml:space="preserve">Qualified ESOL Tutors keeping up to date with NATECLA and Trinity College London webinars and training offers </w:t>
            </w:r>
          </w:p>
        </w:tc>
        <w:tc>
          <w:tcPr>
            <w:tcW w:w="1021" w:type="pct"/>
            <w:hideMark/>
          </w:tcPr>
          <w:p w14:paraId="5976EB22" w14:textId="605736A1"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HHTC colleagues </w:t>
            </w:r>
            <w:r w:rsidR="00F25518" w:rsidRPr="00BD3E6A">
              <w:rPr>
                <w:rFonts w:asciiTheme="minorHAnsi" w:hAnsiTheme="minorHAnsi" w:cstheme="minorHAnsi"/>
                <w:color w:val="auto"/>
                <w:sz w:val="24"/>
                <w:szCs w:val="24"/>
              </w:rPr>
              <w:t>/translators</w:t>
            </w:r>
          </w:p>
        </w:tc>
      </w:tr>
      <w:tr w:rsidR="00F25518" w:rsidRPr="00F25518" w14:paraId="105AB3C4" w14:textId="77777777" w:rsidTr="006D3541">
        <w:tc>
          <w:tcPr>
            <w:tcW w:w="604" w:type="pct"/>
            <w:vMerge/>
            <w:hideMark/>
          </w:tcPr>
          <w:p w14:paraId="79909466"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p>
        </w:tc>
        <w:tc>
          <w:tcPr>
            <w:tcW w:w="1833" w:type="pct"/>
            <w:hideMark/>
          </w:tcPr>
          <w:p w14:paraId="3A9A1799"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Regular review of support and progress.</w:t>
            </w:r>
          </w:p>
        </w:tc>
        <w:tc>
          <w:tcPr>
            <w:tcW w:w="1542" w:type="pct"/>
            <w:hideMark/>
          </w:tcPr>
          <w:p w14:paraId="44881CE0" w14:textId="5F9E7F3A"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Regular meetings with </w:t>
            </w:r>
            <w:r w:rsidR="00FF18C6">
              <w:rPr>
                <w:rFonts w:asciiTheme="minorHAnsi" w:hAnsiTheme="minorHAnsi" w:cstheme="minorHAnsi"/>
                <w:color w:val="auto"/>
                <w:sz w:val="24"/>
                <w:szCs w:val="24"/>
              </w:rPr>
              <w:t>co</w:t>
            </w:r>
            <w:r w:rsidR="00CA0ED5" w:rsidRPr="00BD3E6A">
              <w:rPr>
                <w:rFonts w:asciiTheme="minorHAnsi" w:hAnsiTheme="minorHAnsi" w:cstheme="minorHAnsi"/>
                <w:color w:val="auto"/>
                <w:sz w:val="24"/>
                <w:szCs w:val="24"/>
              </w:rPr>
              <w:t>lleagues</w:t>
            </w:r>
            <w:r w:rsidRPr="00BD3E6A">
              <w:rPr>
                <w:rFonts w:asciiTheme="minorHAnsi" w:hAnsiTheme="minorHAnsi" w:cstheme="minorHAnsi"/>
                <w:color w:val="auto"/>
                <w:sz w:val="24"/>
                <w:szCs w:val="24"/>
              </w:rPr>
              <w:t xml:space="preserve"> to review effectiveness of support and any unaddressed needs. (Caseload review and weekly meetings)</w:t>
            </w:r>
          </w:p>
        </w:tc>
        <w:tc>
          <w:tcPr>
            <w:tcW w:w="1021" w:type="pct"/>
            <w:hideMark/>
          </w:tcPr>
          <w:p w14:paraId="34C8A47A"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Managers</w:t>
            </w:r>
          </w:p>
        </w:tc>
      </w:tr>
      <w:tr w:rsidR="00F25518" w:rsidRPr="00F25518" w14:paraId="23D619BE" w14:textId="77777777" w:rsidTr="006D3541">
        <w:tc>
          <w:tcPr>
            <w:tcW w:w="604" w:type="pct"/>
            <w:hideMark/>
          </w:tcPr>
          <w:p w14:paraId="02AF18B5" w14:textId="77777777" w:rsidR="00F25518" w:rsidRPr="00F25518" w:rsidRDefault="00F25518" w:rsidP="00F25518">
            <w:pPr>
              <w:shd w:val="clear" w:color="auto" w:fill="FFFFFF"/>
              <w:spacing w:after="0" w:line="479" w:lineRule="atLeast"/>
              <w:textAlignment w:val="baseline"/>
              <w:outlineLvl w:val="2"/>
              <w:rPr>
                <w:rFonts w:cs="Calibri"/>
                <w:b/>
                <w:bCs/>
                <w:szCs w:val="28"/>
                <w:bdr w:val="none" w:sz="0" w:space="0" w:color="auto" w:frame="1"/>
              </w:rPr>
            </w:pPr>
            <w:r w:rsidRPr="00F25518">
              <w:rPr>
                <w:rFonts w:cs="Calibri"/>
                <w:b/>
                <w:bCs/>
                <w:szCs w:val="28"/>
                <w:bdr w:val="none" w:sz="0" w:space="0" w:color="auto" w:frame="1"/>
              </w:rPr>
              <w:t>Learner voice and feedback</w:t>
            </w:r>
          </w:p>
        </w:tc>
        <w:tc>
          <w:tcPr>
            <w:tcW w:w="1833" w:type="pct"/>
            <w:hideMark/>
          </w:tcPr>
          <w:p w14:paraId="12539B91"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Learners are provided with a range of opportunities to feedback on the service provided by Horton Housing Association (HHA) and are </w:t>
            </w:r>
            <w:r w:rsidRPr="00BD3E6A">
              <w:rPr>
                <w:rFonts w:asciiTheme="minorHAnsi" w:hAnsiTheme="minorHAnsi" w:cstheme="minorHAnsi"/>
                <w:color w:val="auto"/>
                <w:sz w:val="24"/>
                <w:szCs w:val="24"/>
              </w:rPr>
              <w:lastRenderedPageBreak/>
              <w:t>provided with information about how HHA has used their feedback to improve their situation or service delivery.</w:t>
            </w:r>
          </w:p>
        </w:tc>
        <w:tc>
          <w:tcPr>
            <w:tcW w:w="1542" w:type="pct"/>
            <w:hideMark/>
          </w:tcPr>
          <w:p w14:paraId="2C83CBEB"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lastRenderedPageBreak/>
              <w:t xml:space="preserve">Comments, compliments and complaints policy is up to date and reviewed </w:t>
            </w:r>
            <w:r w:rsidRPr="00BD3E6A">
              <w:rPr>
                <w:rFonts w:asciiTheme="minorHAnsi" w:hAnsiTheme="minorHAnsi" w:cstheme="minorHAnsi"/>
                <w:color w:val="auto"/>
                <w:sz w:val="24"/>
                <w:szCs w:val="24"/>
              </w:rPr>
              <w:lastRenderedPageBreak/>
              <w:t>periodically by Senior Leadership Team (SLT)</w:t>
            </w:r>
          </w:p>
          <w:p w14:paraId="5732B05D"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Annual client survey and client consultation</w:t>
            </w:r>
          </w:p>
        </w:tc>
        <w:tc>
          <w:tcPr>
            <w:tcW w:w="1021" w:type="pct"/>
            <w:hideMark/>
          </w:tcPr>
          <w:p w14:paraId="4EA4D040" w14:textId="48C4801D" w:rsidR="00F25518" w:rsidRPr="00BD3E6A" w:rsidRDefault="00CA0ED5"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lastRenderedPageBreak/>
              <w:t>All HHTC colleagues</w:t>
            </w:r>
          </w:p>
        </w:tc>
      </w:tr>
      <w:tr w:rsidR="00F25518" w:rsidRPr="00F25518" w14:paraId="64F23702" w14:textId="77777777" w:rsidTr="006D3541">
        <w:tc>
          <w:tcPr>
            <w:tcW w:w="604" w:type="pct"/>
            <w:hideMark/>
          </w:tcPr>
          <w:p w14:paraId="67A6567A" w14:textId="77777777" w:rsidR="00F25518" w:rsidRPr="00F25518" w:rsidRDefault="00F25518" w:rsidP="00F25518">
            <w:pPr>
              <w:spacing w:after="0" w:line="360" w:lineRule="auto"/>
              <w:rPr>
                <w:rFonts w:cs="Calibri"/>
                <w:color w:val="auto"/>
                <w:sz w:val="24"/>
                <w:szCs w:val="24"/>
              </w:rPr>
            </w:pPr>
            <w:r w:rsidRPr="00F25518">
              <w:rPr>
                <w:rFonts w:cs="Calibri"/>
                <w:b/>
                <w:bCs/>
                <w:color w:val="auto"/>
                <w:sz w:val="24"/>
                <w:szCs w:val="24"/>
                <w:bdr w:val="none" w:sz="0" w:space="0" w:color="auto" w:frame="1"/>
              </w:rPr>
              <w:t>Meeting the standards</w:t>
            </w:r>
          </w:p>
        </w:tc>
        <w:tc>
          <w:tcPr>
            <w:tcW w:w="1833" w:type="pct"/>
            <w:hideMark/>
          </w:tcPr>
          <w:p w14:paraId="735078F5" w14:textId="5BC440BB"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To ensure that all </w:t>
            </w:r>
            <w:r w:rsidR="00CA0ED5" w:rsidRPr="00BD3E6A">
              <w:rPr>
                <w:rFonts w:asciiTheme="minorHAnsi" w:hAnsiTheme="minorHAnsi" w:cstheme="minorHAnsi"/>
                <w:color w:val="auto"/>
                <w:sz w:val="24"/>
                <w:szCs w:val="24"/>
              </w:rPr>
              <w:t>colleagues</w:t>
            </w:r>
            <w:r w:rsidRPr="00BD3E6A">
              <w:rPr>
                <w:rFonts w:asciiTheme="minorHAnsi" w:hAnsiTheme="minorHAnsi" w:cstheme="minorHAnsi"/>
                <w:color w:val="auto"/>
                <w:sz w:val="24"/>
                <w:szCs w:val="24"/>
              </w:rPr>
              <w:t xml:space="preserve"> are aware of and are supported in meeting the standard of information, advice and guidance required to meet the Matrix standard.</w:t>
            </w:r>
          </w:p>
        </w:tc>
        <w:tc>
          <w:tcPr>
            <w:tcW w:w="1542" w:type="pct"/>
            <w:hideMark/>
          </w:tcPr>
          <w:p w14:paraId="713D4BC2" w14:textId="68CEC923" w:rsidR="00F25518" w:rsidRPr="00FF18C6" w:rsidRDefault="00F25518" w:rsidP="00FF18C6">
            <w:pPr>
              <w:pStyle w:val="ListParagraph"/>
              <w:numPr>
                <w:ilvl w:val="0"/>
                <w:numId w:val="54"/>
              </w:numPr>
              <w:spacing w:after="0" w:line="360" w:lineRule="auto"/>
              <w:rPr>
                <w:rFonts w:eastAsia="Calibri" w:cstheme="minorHAnsi"/>
                <w:color w:val="auto"/>
                <w:sz w:val="24"/>
                <w:szCs w:val="24"/>
              </w:rPr>
            </w:pPr>
            <w:r w:rsidRPr="00FF18C6">
              <w:rPr>
                <w:rFonts w:eastAsia="Calibri" w:cstheme="minorHAnsi"/>
                <w:color w:val="auto"/>
                <w:sz w:val="24"/>
                <w:szCs w:val="24"/>
              </w:rPr>
              <w:t>Matrix support sessions to be developed for</w:t>
            </w:r>
            <w:r w:rsidR="00CA0ED5" w:rsidRPr="00FF18C6">
              <w:rPr>
                <w:rFonts w:eastAsia="Calibri" w:cstheme="minorHAnsi"/>
                <w:color w:val="auto"/>
                <w:sz w:val="24"/>
                <w:szCs w:val="24"/>
              </w:rPr>
              <w:t xml:space="preserve"> HHTC</w:t>
            </w:r>
            <w:r w:rsidRPr="00FF18C6">
              <w:rPr>
                <w:rFonts w:eastAsia="Calibri" w:cstheme="minorHAnsi"/>
                <w:color w:val="auto"/>
                <w:sz w:val="24"/>
                <w:szCs w:val="24"/>
              </w:rPr>
              <w:t xml:space="preserve"> </w:t>
            </w:r>
            <w:r w:rsidR="00CA0ED5" w:rsidRPr="00FF18C6">
              <w:rPr>
                <w:rFonts w:eastAsia="Calibri" w:cstheme="minorHAnsi"/>
                <w:color w:val="auto"/>
                <w:sz w:val="24"/>
                <w:szCs w:val="24"/>
              </w:rPr>
              <w:t>colleagues</w:t>
            </w:r>
            <w:r w:rsidRPr="00FF18C6">
              <w:rPr>
                <w:rFonts w:eastAsia="Calibri" w:cstheme="minorHAnsi"/>
                <w:color w:val="auto"/>
                <w:sz w:val="24"/>
                <w:szCs w:val="24"/>
              </w:rPr>
              <w:t xml:space="preserve"> for new MATRIX elements in Q1/26. </w:t>
            </w:r>
          </w:p>
          <w:p w14:paraId="57903BF3" w14:textId="34DB2ADC" w:rsidR="00F25518" w:rsidRPr="00FF18C6" w:rsidRDefault="00CA0ED5" w:rsidP="00FF18C6">
            <w:pPr>
              <w:pStyle w:val="ListParagraph"/>
              <w:numPr>
                <w:ilvl w:val="0"/>
                <w:numId w:val="54"/>
              </w:numPr>
              <w:spacing w:after="0" w:line="360" w:lineRule="auto"/>
              <w:rPr>
                <w:rFonts w:eastAsia="Calibri" w:cstheme="minorHAnsi"/>
                <w:color w:val="auto"/>
                <w:sz w:val="24"/>
                <w:szCs w:val="24"/>
              </w:rPr>
            </w:pPr>
            <w:r w:rsidRPr="00FF18C6">
              <w:rPr>
                <w:rFonts w:eastAsia="Calibri" w:cstheme="minorHAnsi"/>
                <w:color w:val="auto"/>
                <w:sz w:val="24"/>
                <w:szCs w:val="24"/>
              </w:rPr>
              <w:t>Colleague</w:t>
            </w:r>
            <w:r w:rsidR="00F25518" w:rsidRPr="00FF18C6">
              <w:rPr>
                <w:rFonts w:eastAsia="Calibri" w:cstheme="minorHAnsi"/>
                <w:color w:val="auto"/>
                <w:sz w:val="24"/>
                <w:szCs w:val="24"/>
              </w:rPr>
              <w:t xml:space="preserve"> away day agenda item</w:t>
            </w:r>
            <w:r w:rsidRPr="00FF18C6">
              <w:rPr>
                <w:rFonts w:eastAsia="Calibri" w:cstheme="minorHAnsi"/>
                <w:color w:val="auto"/>
                <w:sz w:val="24"/>
                <w:szCs w:val="24"/>
              </w:rPr>
              <w:t>.</w:t>
            </w:r>
          </w:p>
        </w:tc>
        <w:tc>
          <w:tcPr>
            <w:tcW w:w="1021" w:type="pct"/>
            <w:hideMark/>
          </w:tcPr>
          <w:p w14:paraId="5358B776" w14:textId="77777777"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 xml:space="preserve">Education and Training Lead </w:t>
            </w:r>
          </w:p>
          <w:p w14:paraId="624E5D5B" w14:textId="77777777" w:rsidR="006D3541" w:rsidRDefault="006D3541" w:rsidP="00F25518">
            <w:pPr>
              <w:spacing w:after="0" w:line="360" w:lineRule="auto"/>
              <w:rPr>
                <w:rFonts w:asciiTheme="minorHAnsi" w:hAnsiTheme="minorHAnsi" w:cstheme="minorHAnsi"/>
                <w:color w:val="auto"/>
                <w:sz w:val="24"/>
                <w:szCs w:val="24"/>
              </w:rPr>
            </w:pPr>
          </w:p>
          <w:p w14:paraId="0D831013" w14:textId="3697380F" w:rsidR="00F25518" w:rsidRPr="00BD3E6A" w:rsidRDefault="00F25518" w:rsidP="00F25518">
            <w:pPr>
              <w:spacing w:after="0" w:line="360" w:lineRule="auto"/>
              <w:rPr>
                <w:rFonts w:asciiTheme="minorHAnsi" w:hAnsiTheme="minorHAnsi" w:cstheme="minorHAnsi"/>
                <w:color w:val="auto"/>
                <w:sz w:val="24"/>
                <w:szCs w:val="24"/>
              </w:rPr>
            </w:pPr>
            <w:r w:rsidRPr="00BD3E6A">
              <w:rPr>
                <w:rFonts w:asciiTheme="minorHAnsi" w:hAnsiTheme="minorHAnsi" w:cstheme="minorHAnsi"/>
                <w:color w:val="auto"/>
                <w:sz w:val="24"/>
                <w:szCs w:val="24"/>
              </w:rPr>
              <w:t>Education and Training Managers</w:t>
            </w:r>
          </w:p>
          <w:p w14:paraId="780C5315" w14:textId="77777777" w:rsidR="00F25518" w:rsidRPr="00BD3E6A" w:rsidRDefault="00F25518" w:rsidP="00F25518">
            <w:pPr>
              <w:spacing w:after="0" w:line="360" w:lineRule="auto"/>
              <w:rPr>
                <w:rFonts w:asciiTheme="minorHAnsi" w:hAnsiTheme="minorHAnsi" w:cstheme="minorHAnsi"/>
                <w:color w:val="auto"/>
                <w:sz w:val="24"/>
                <w:szCs w:val="24"/>
              </w:rPr>
            </w:pPr>
          </w:p>
          <w:p w14:paraId="0BDC56F3" w14:textId="77777777" w:rsidR="00F25518" w:rsidRPr="00BD3E6A" w:rsidRDefault="00F25518" w:rsidP="00F25518">
            <w:pPr>
              <w:spacing w:after="0" w:line="360" w:lineRule="auto"/>
              <w:rPr>
                <w:rFonts w:asciiTheme="minorHAnsi" w:hAnsiTheme="minorHAnsi" w:cstheme="minorHAnsi"/>
                <w:color w:val="auto"/>
                <w:sz w:val="24"/>
                <w:szCs w:val="24"/>
              </w:rPr>
            </w:pPr>
          </w:p>
          <w:p w14:paraId="29B3592D" w14:textId="77777777" w:rsidR="00F25518" w:rsidRPr="00BD3E6A" w:rsidRDefault="00F25518" w:rsidP="00F25518">
            <w:pPr>
              <w:spacing w:after="0" w:line="360" w:lineRule="auto"/>
              <w:rPr>
                <w:rFonts w:asciiTheme="minorHAnsi" w:hAnsiTheme="minorHAnsi" w:cstheme="minorHAnsi"/>
                <w:color w:val="auto"/>
                <w:sz w:val="24"/>
                <w:szCs w:val="24"/>
              </w:rPr>
            </w:pPr>
          </w:p>
          <w:p w14:paraId="6070DD9A" w14:textId="77777777" w:rsidR="00F25518" w:rsidRPr="00BD3E6A" w:rsidRDefault="00F25518" w:rsidP="00F25518">
            <w:pPr>
              <w:spacing w:after="0" w:line="360" w:lineRule="auto"/>
              <w:rPr>
                <w:rFonts w:asciiTheme="minorHAnsi" w:hAnsiTheme="minorHAnsi" w:cstheme="minorHAnsi"/>
                <w:color w:val="auto"/>
                <w:sz w:val="24"/>
                <w:szCs w:val="24"/>
              </w:rPr>
            </w:pPr>
          </w:p>
        </w:tc>
      </w:tr>
    </w:tbl>
    <w:p w14:paraId="1DF0AD25" w14:textId="77777777" w:rsidR="00040A23" w:rsidRPr="00DA4F42" w:rsidRDefault="00040A23" w:rsidP="00755629">
      <w:pPr>
        <w:pStyle w:val="Default"/>
        <w:rPr>
          <w:rFonts w:ascii="Calibri" w:hAnsi="Calibri" w:cs="Calibri"/>
          <w:color w:val="auto"/>
        </w:rPr>
      </w:pPr>
    </w:p>
    <w:sectPr w:rsidR="00040A23" w:rsidRPr="00DA4F42" w:rsidSect="006D3541">
      <w:footerReference w:type="default" r:id="rId11"/>
      <w:headerReference w:type="first" r:id="rId12"/>
      <w:pgSz w:w="16838" w:h="11906" w:orient="landscape" w:code="9"/>
      <w:pgMar w:top="1440" w:right="1440" w:bottom="1440" w:left="1440" w:header="567" w:footer="0" w:gutter="0"/>
      <w:pgNumType w:start="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69A6" w14:textId="77777777" w:rsidR="00160966" w:rsidRDefault="00160966" w:rsidP="00C261AA">
      <w:pPr>
        <w:spacing w:after="0" w:line="240" w:lineRule="auto"/>
      </w:pPr>
      <w:r>
        <w:separator/>
      </w:r>
    </w:p>
  </w:endnote>
  <w:endnote w:type="continuationSeparator" w:id="0">
    <w:p w14:paraId="26500E19" w14:textId="77777777" w:rsidR="00160966" w:rsidRDefault="00160966" w:rsidP="00C2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WYD L+ Avant Garde ITC by BT">
    <w:altName w:val="Calibri"/>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roman"/>
    <w:notTrueType/>
    <w:pitch w:val="default"/>
    <w:sig w:usb0="00000003" w:usb1="00000000" w:usb2="00000000" w:usb3="00000000" w:csb0="00000001" w:csb1="00000000"/>
  </w:font>
  <w:font w:name="TDGER J+ Avant Garde ITC by BT">
    <w:altName w:val="Calibri"/>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078416"/>
      <w:docPartObj>
        <w:docPartGallery w:val="Page Numbers (Bottom of Page)"/>
        <w:docPartUnique/>
      </w:docPartObj>
    </w:sdtPr>
    <w:sdtEndPr>
      <w:rPr>
        <w:color w:val="7F7F7F" w:themeColor="background1" w:themeShade="7F"/>
        <w:spacing w:val="60"/>
      </w:rPr>
    </w:sdtEndPr>
    <w:sdtContent>
      <w:p w14:paraId="2CB1CF94" w14:textId="6E4C5C0E" w:rsidR="006D3541" w:rsidRDefault="006D354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4D2E94A" w14:textId="77777777" w:rsidR="006D3541" w:rsidRDefault="006D3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3558" w14:textId="77777777" w:rsidR="00160966" w:rsidRDefault="00160966" w:rsidP="00C261AA">
      <w:pPr>
        <w:spacing w:after="0" w:line="240" w:lineRule="auto"/>
      </w:pPr>
      <w:r>
        <w:separator/>
      </w:r>
    </w:p>
  </w:footnote>
  <w:footnote w:type="continuationSeparator" w:id="0">
    <w:p w14:paraId="6DE761BC" w14:textId="77777777" w:rsidR="00160966" w:rsidRDefault="00160966" w:rsidP="00C26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D0E4" w14:textId="77777777" w:rsidR="00DA45F8" w:rsidRDefault="00DA45F8" w:rsidP="0030299E">
    <w:pPr>
      <w:pStyle w:val="Header"/>
      <w:spacing w:after="0"/>
      <w:jc w:val="right"/>
    </w:pPr>
    <w:r>
      <w:rPr>
        <w:noProof/>
      </w:rPr>
      <w:drawing>
        <wp:inline distT="0" distB="0" distL="0" distR="0" wp14:anchorId="7FB18F81" wp14:editId="63C6D6AA">
          <wp:extent cx="1749615" cy="874003"/>
          <wp:effectExtent l="0" t="0" r="3175" b="2540"/>
          <wp:docPr id="940585998" name="Picture 94058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130 Horton Tagline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1749615" cy="874003"/>
                  </a:xfrm>
                  <a:prstGeom prst="rect">
                    <a:avLst/>
                  </a:prstGeom>
                </pic:spPr>
              </pic:pic>
            </a:graphicData>
          </a:graphic>
        </wp:inline>
      </w:drawing>
    </w:r>
  </w:p>
  <w:p w14:paraId="03A38FBA" w14:textId="3410776C" w:rsidR="00DA45F8" w:rsidRPr="0030299E" w:rsidRDefault="00DA45F8" w:rsidP="0030299E">
    <w:pPr>
      <w:pStyle w:val="Header"/>
      <w:spacing w:after="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BABB6C"/>
    <w:multiLevelType w:val="hybridMultilevel"/>
    <w:tmpl w:val="83DBE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2003E8"/>
    <w:multiLevelType w:val="hybridMultilevel"/>
    <w:tmpl w:val="F9DE7D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3E2B21"/>
    <w:multiLevelType w:val="hybridMultilevel"/>
    <w:tmpl w:val="AAEE9B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6CC5FC"/>
    <w:multiLevelType w:val="hybridMultilevel"/>
    <w:tmpl w:val="C12D60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37BEB2"/>
    <w:multiLevelType w:val="hybridMultilevel"/>
    <w:tmpl w:val="3F3C34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0B2C3C"/>
    <w:multiLevelType w:val="hybridMultilevel"/>
    <w:tmpl w:val="55643D6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190326"/>
    <w:multiLevelType w:val="hybridMultilevel"/>
    <w:tmpl w:val="A874E920"/>
    <w:lvl w:ilvl="0" w:tplc="38CE9E24">
      <w:start w:val="1"/>
      <w:numFmt w:val="bullet"/>
      <w:lvlText w:val=""/>
      <w:lvlJc w:val="left"/>
      <w:pPr>
        <w:ind w:left="720" w:hanging="360"/>
      </w:pPr>
      <w:rPr>
        <w:rFonts w:ascii="Symbol" w:hAnsi="Symbol" w:hint="default"/>
        <w:color w:val="0099F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57EA243"/>
    <w:multiLevelType w:val="hybridMultilevel"/>
    <w:tmpl w:val="CC3A30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1C71B2"/>
    <w:multiLevelType w:val="hybridMultilevel"/>
    <w:tmpl w:val="FB82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00AEA"/>
    <w:multiLevelType w:val="hybridMultilevel"/>
    <w:tmpl w:val="C046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F2A3B"/>
    <w:multiLevelType w:val="multilevel"/>
    <w:tmpl w:val="C170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861281"/>
    <w:multiLevelType w:val="hybridMultilevel"/>
    <w:tmpl w:val="C276D1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990720"/>
    <w:multiLevelType w:val="hybridMultilevel"/>
    <w:tmpl w:val="272AB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FA4F2D"/>
    <w:multiLevelType w:val="hybridMultilevel"/>
    <w:tmpl w:val="8A94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4239B"/>
    <w:multiLevelType w:val="hybridMultilevel"/>
    <w:tmpl w:val="4976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D3380"/>
    <w:multiLevelType w:val="hybridMultilevel"/>
    <w:tmpl w:val="8B7A28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B43B71"/>
    <w:multiLevelType w:val="hybridMultilevel"/>
    <w:tmpl w:val="53C8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A549C"/>
    <w:multiLevelType w:val="hybridMultilevel"/>
    <w:tmpl w:val="3D02CD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5D62DB7"/>
    <w:multiLevelType w:val="hybridMultilevel"/>
    <w:tmpl w:val="FB52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8741AC"/>
    <w:multiLevelType w:val="hybridMultilevel"/>
    <w:tmpl w:val="28B2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092CA0"/>
    <w:multiLevelType w:val="hybridMultilevel"/>
    <w:tmpl w:val="31B4335E"/>
    <w:lvl w:ilvl="0" w:tplc="412CCB56">
      <w:start w:val="1"/>
      <w:numFmt w:val="lowerLetter"/>
      <w:lvlText w:val="%1)"/>
      <w:lvlJc w:val="left"/>
      <w:pPr>
        <w:ind w:left="78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2555D0"/>
    <w:multiLevelType w:val="hybridMultilevel"/>
    <w:tmpl w:val="86CA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3409F7"/>
    <w:multiLevelType w:val="hybridMultilevel"/>
    <w:tmpl w:val="98A8E0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9E458DB"/>
    <w:multiLevelType w:val="hybridMultilevel"/>
    <w:tmpl w:val="1BDE8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A255D8"/>
    <w:multiLevelType w:val="hybridMultilevel"/>
    <w:tmpl w:val="2780D7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CAF456"/>
    <w:multiLevelType w:val="hybridMultilevel"/>
    <w:tmpl w:val="6E28DC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AFDD5F1"/>
    <w:multiLevelType w:val="hybridMultilevel"/>
    <w:tmpl w:val="521F38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B0D39EB"/>
    <w:multiLevelType w:val="hybridMultilevel"/>
    <w:tmpl w:val="6EC8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7000DD"/>
    <w:multiLevelType w:val="hybridMultilevel"/>
    <w:tmpl w:val="88C8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35162A"/>
    <w:multiLevelType w:val="hybridMultilevel"/>
    <w:tmpl w:val="E6C0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D6FB62"/>
    <w:multiLevelType w:val="hybridMultilevel"/>
    <w:tmpl w:val="D1A91E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24E062E"/>
    <w:multiLevelType w:val="hybridMultilevel"/>
    <w:tmpl w:val="A95E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EDB354"/>
    <w:multiLevelType w:val="hybridMultilevel"/>
    <w:tmpl w:val="7032EE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BD5234A"/>
    <w:multiLevelType w:val="hybridMultilevel"/>
    <w:tmpl w:val="F2E25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015A25"/>
    <w:multiLevelType w:val="hybridMultilevel"/>
    <w:tmpl w:val="3390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9C11FB"/>
    <w:multiLevelType w:val="hybridMultilevel"/>
    <w:tmpl w:val="0494DFA0"/>
    <w:lvl w:ilvl="0" w:tplc="EF6A6892">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01E1832"/>
    <w:multiLevelType w:val="hybridMultilevel"/>
    <w:tmpl w:val="B8753A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5AE5B08"/>
    <w:multiLevelType w:val="hybridMultilevel"/>
    <w:tmpl w:val="2F60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A00230"/>
    <w:multiLevelType w:val="hybridMultilevel"/>
    <w:tmpl w:val="4330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193DF6"/>
    <w:multiLevelType w:val="hybridMultilevel"/>
    <w:tmpl w:val="AD8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606C08"/>
    <w:multiLevelType w:val="hybridMultilevel"/>
    <w:tmpl w:val="9B22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C6E615"/>
    <w:multiLevelType w:val="hybridMultilevel"/>
    <w:tmpl w:val="DB0903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8353367"/>
    <w:multiLevelType w:val="hybridMultilevel"/>
    <w:tmpl w:val="8B7A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1C0DC8"/>
    <w:multiLevelType w:val="hybridMultilevel"/>
    <w:tmpl w:val="EAAE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DB7C36"/>
    <w:multiLevelType w:val="hybridMultilevel"/>
    <w:tmpl w:val="95492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15A747D"/>
    <w:multiLevelType w:val="hybridMultilevel"/>
    <w:tmpl w:val="5064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FB19BA"/>
    <w:multiLevelType w:val="hybridMultilevel"/>
    <w:tmpl w:val="6936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580E06"/>
    <w:multiLevelType w:val="hybridMultilevel"/>
    <w:tmpl w:val="807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2BFA4F"/>
    <w:multiLevelType w:val="hybridMultilevel"/>
    <w:tmpl w:val="7766F2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F286ECE"/>
    <w:multiLevelType w:val="hybridMultilevel"/>
    <w:tmpl w:val="BE41D2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5BF612D"/>
    <w:multiLevelType w:val="hybridMultilevel"/>
    <w:tmpl w:val="7CBA89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C052AAD"/>
    <w:multiLevelType w:val="hybridMultilevel"/>
    <w:tmpl w:val="E0585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D840C70"/>
    <w:multiLevelType w:val="hybridMultilevel"/>
    <w:tmpl w:val="CE0A0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99639949">
    <w:abstractNumId w:val="48"/>
  </w:num>
  <w:num w:numId="2" w16cid:durableId="892891750">
    <w:abstractNumId w:val="32"/>
  </w:num>
  <w:num w:numId="3" w16cid:durableId="1225488021">
    <w:abstractNumId w:val="7"/>
  </w:num>
  <w:num w:numId="4" w16cid:durableId="3940955">
    <w:abstractNumId w:val="36"/>
  </w:num>
  <w:num w:numId="5" w16cid:durableId="1249777756">
    <w:abstractNumId w:val="30"/>
  </w:num>
  <w:num w:numId="6" w16cid:durableId="1055739083">
    <w:abstractNumId w:val="3"/>
  </w:num>
  <w:num w:numId="7" w16cid:durableId="1604731118">
    <w:abstractNumId w:val="4"/>
  </w:num>
  <w:num w:numId="8" w16cid:durableId="2014188919">
    <w:abstractNumId w:val="26"/>
  </w:num>
  <w:num w:numId="9" w16cid:durableId="191917974">
    <w:abstractNumId w:val="25"/>
  </w:num>
  <w:num w:numId="10" w16cid:durableId="1882984252">
    <w:abstractNumId w:val="43"/>
  </w:num>
  <w:num w:numId="11" w16cid:durableId="1689678186">
    <w:abstractNumId w:val="35"/>
  </w:num>
  <w:num w:numId="12" w16cid:durableId="37556582">
    <w:abstractNumId w:val="50"/>
  </w:num>
  <w:num w:numId="13" w16cid:durableId="1067654296">
    <w:abstractNumId w:val="20"/>
  </w:num>
  <w:num w:numId="14" w16cid:durableId="1580169035">
    <w:abstractNumId w:val="37"/>
  </w:num>
  <w:num w:numId="15" w16cid:durableId="410664004">
    <w:abstractNumId w:val="46"/>
  </w:num>
  <w:num w:numId="16" w16cid:durableId="811095880">
    <w:abstractNumId w:val="27"/>
  </w:num>
  <w:num w:numId="17" w16cid:durableId="1813281800">
    <w:abstractNumId w:val="47"/>
  </w:num>
  <w:num w:numId="18" w16cid:durableId="1729840300">
    <w:abstractNumId w:val="8"/>
  </w:num>
  <w:num w:numId="19" w16cid:durableId="931163496">
    <w:abstractNumId w:val="6"/>
  </w:num>
  <w:num w:numId="20" w16cid:durableId="1311446875">
    <w:abstractNumId w:val="6"/>
  </w:num>
  <w:num w:numId="21" w16cid:durableId="1705400562">
    <w:abstractNumId w:val="38"/>
  </w:num>
  <w:num w:numId="22" w16cid:durableId="796293693">
    <w:abstractNumId w:val="29"/>
  </w:num>
  <w:num w:numId="23" w16cid:durableId="293407017">
    <w:abstractNumId w:val="44"/>
  </w:num>
  <w:num w:numId="24" w16cid:durableId="31007473">
    <w:abstractNumId w:val="0"/>
  </w:num>
  <w:num w:numId="25" w16cid:durableId="1203900868">
    <w:abstractNumId w:val="1"/>
  </w:num>
  <w:num w:numId="26" w16cid:durableId="531453306">
    <w:abstractNumId w:val="41"/>
  </w:num>
  <w:num w:numId="27" w16cid:durableId="920024302">
    <w:abstractNumId w:val="2"/>
  </w:num>
  <w:num w:numId="28" w16cid:durableId="1127165492">
    <w:abstractNumId w:val="11"/>
  </w:num>
  <w:num w:numId="29" w16cid:durableId="1970240507">
    <w:abstractNumId w:val="49"/>
  </w:num>
  <w:num w:numId="30" w16cid:durableId="47412818">
    <w:abstractNumId w:val="19"/>
  </w:num>
  <w:num w:numId="31" w16cid:durableId="458381568">
    <w:abstractNumId w:val="14"/>
  </w:num>
  <w:num w:numId="32" w16cid:durableId="500044521">
    <w:abstractNumId w:val="17"/>
  </w:num>
  <w:num w:numId="33" w16cid:durableId="1482505414">
    <w:abstractNumId w:val="39"/>
  </w:num>
  <w:num w:numId="34" w16cid:durableId="975792872">
    <w:abstractNumId w:val="33"/>
  </w:num>
  <w:num w:numId="35" w16cid:durableId="292517134">
    <w:abstractNumId w:val="31"/>
  </w:num>
  <w:num w:numId="36" w16cid:durableId="879515239">
    <w:abstractNumId w:val="28"/>
  </w:num>
  <w:num w:numId="37" w16cid:durableId="662121801">
    <w:abstractNumId w:val="16"/>
  </w:num>
  <w:num w:numId="38" w16cid:durableId="1611353981">
    <w:abstractNumId w:val="21"/>
  </w:num>
  <w:num w:numId="39" w16cid:durableId="1057556012">
    <w:abstractNumId w:val="40"/>
  </w:num>
  <w:num w:numId="40" w16cid:durableId="349112294">
    <w:abstractNumId w:val="24"/>
  </w:num>
  <w:num w:numId="41" w16cid:durableId="2135637384">
    <w:abstractNumId w:val="42"/>
  </w:num>
  <w:num w:numId="42" w16cid:durableId="84039432">
    <w:abstractNumId w:val="18"/>
  </w:num>
  <w:num w:numId="43" w16cid:durableId="160631268">
    <w:abstractNumId w:val="9"/>
  </w:num>
  <w:num w:numId="44" w16cid:durableId="521362170">
    <w:abstractNumId w:val="52"/>
  </w:num>
  <w:num w:numId="45" w16cid:durableId="2067415616">
    <w:abstractNumId w:val="45"/>
  </w:num>
  <w:num w:numId="46" w16cid:durableId="20938394">
    <w:abstractNumId w:val="13"/>
  </w:num>
  <w:num w:numId="47" w16cid:durableId="1813055677">
    <w:abstractNumId w:val="15"/>
  </w:num>
  <w:num w:numId="48" w16cid:durableId="1540165049">
    <w:abstractNumId w:val="10"/>
  </w:num>
  <w:num w:numId="49" w16cid:durableId="1282615846">
    <w:abstractNumId w:val="34"/>
  </w:num>
  <w:num w:numId="50" w16cid:durableId="138767011">
    <w:abstractNumId w:val="22"/>
  </w:num>
  <w:num w:numId="51" w16cid:durableId="1041632086">
    <w:abstractNumId w:val="12"/>
  </w:num>
  <w:num w:numId="52" w16cid:durableId="942424004">
    <w:abstractNumId w:val="51"/>
  </w:num>
  <w:num w:numId="53" w16cid:durableId="617221101">
    <w:abstractNumId w:val="23"/>
  </w:num>
  <w:num w:numId="54" w16cid:durableId="1197692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5D"/>
    <w:rsid w:val="00007777"/>
    <w:rsid w:val="000112FC"/>
    <w:rsid w:val="000333D6"/>
    <w:rsid w:val="0003417C"/>
    <w:rsid w:val="00040A23"/>
    <w:rsid w:val="000424B3"/>
    <w:rsid w:val="000513C0"/>
    <w:rsid w:val="00054FA3"/>
    <w:rsid w:val="00060F1F"/>
    <w:rsid w:val="000A1A34"/>
    <w:rsid w:val="000C3DA8"/>
    <w:rsid w:val="000C5DF6"/>
    <w:rsid w:val="000D31B7"/>
    <w:rsid w:val="000D6EF2"/>
    <w:rsid w:val="000E37AF"/>
    <w:rsid w:val="000E540C"/>
    <w:rsid w:val="000E6365"/>
    <w:rsid w:val="0010197E"/>
    <w:rsid w:val="001027A2"/>
    <w:rsid w:val="00147644"/>
    <w:rsid w:val="00155638"/>
    <w:rsid w:val="00160966"/>
    <w:rsid w:val="001714E0"/>
    <w:rsid w:val="00176DAE"/>
    <w:rsid w:val="001801F2"/>
    <w:rsid w:val="001A5ACA"/>
    <w:rsid w:val="001B5DA8"/>
    <w:rsid w:val="001D0A86"/>
    <w:rsid w:val="001D433D"/>
    <w:rsid w:val="001E5AF2"/>
    <w:rsid w:val="001E652F"/>
    <w:rsid w:val="001F1C6F"/>
    <w:rsid w:val="001F56FF"/>
    <w:rsid w:val="00202AA1"/>
    <w:rsid w:val="00210731"/>
    <w:rsid w:val="002159DF"/>
    <w:rsid w:val="0021711B"/>
    <w:rsid w:val="00221DC8"/>
    <w:rsid w:val="00224BF8"/>
    <w:rsid w:val="00225436"/>
    <w:rsid w:val="00254194"/>
    <w:rsid w:val="00256124"/>
    <w:rsid w:val="002621BF"/>
    <w:rsid w:val="002861A4"/>
    <w:rsid w:val="0029027D"/>
    <w:rsid w:val="002B0F1E"/>
    <w:rsid w:val="002C34F1"/>
    <w:rsid w:val="002C411E"/>
    <w:rsid w:val="002E0417"/>
    <w:rsid w:val="002E0A4B"/>
    <w:rsid w:val="002E613E"/>
    <w:rsid w:val="0030036C"/>
    <w:rsid w:val="0030299E"/>
    <w:rsid w:val="003140C9"/>
    <w:rsid w:val="00317EF8"/>
    <w:rsid w:val="00324DFE"/>
    <w:rsid w:val="00341C74"/>
    <w:rsid w:val="00347CCA"/>
    <w:rsid w:val="00350721"/>
    <w:rsid w:val="00366740"/>
    <w:rsid w:val="00367701"/>
    <w:rsid w:val="00376360"/>
    <w:rsid w:val="00376746"/>
    <w:rsid w:val="00376C39"/>
    <w:rsid w:val="00377029"/>
    <w:rsid w:val="00381D19"/>
    <w:rsid w:val="003A5B55"/>
    <w:rsid w:val="003A7FFB"/>
    <w:rsid w:val="003B6306"/>
    <w:rsid w:val="003C22A9"/>
    <w:rsid w:val="003C4100"/>
    <w:rsid w:val="003E7B6C"/>
    <w:rsid w:val="00416D6F"/>
    <w:rsid w:val="00420159"/>
    <w:rsid w:val="004278C9"/>
    <w:rsid w:val="00431A4D"/>
    <w:rsid w:val="00431BE5"/>
    <w:rsid w:val="0043555D"/>
    <w:rsid w:val="0044620E"/>
    <w:rsid w:val="00446729"/>
    <w:rsid w:val="004547E3"/>
    <w:rsid w:val="00461BF1"/>
    <w:rsid w:val="00467A8A"/>
    <w:rsid w:val="00475C20"/>
    <w:rsid w:val="00485ED3"/>
    <w:rsid w:val="004C52FF"/>
    <w:rsid w:val="004D1329"/>
    <w:rsid w:val="004D6AD0"/>
    <w:rsid w:val="004E3439"/>
    <w:rsid w:val="005008AC"/>
    <w:rsid w:val="00502962"/>
    <w:rsid w:val="005267A6"/>
    <w:rsid w:val="00531675"/>
    <w:rsid w:val="005346D1"/>
    <w:rsid w:val="005B45E3"/>
    <w:rsid w:val="005C01BF"/>
    <w:rsid w:val="005C7483"/>
    <w:rsid w:val="005D796C"/>
    <w:rsid w:val="005E31DF"/>
    <w:rsid w:val="006101F5"/>
    <w:rsid w:val="0061368D"/>
    <w:rsid w:val="0062535F"/>
    <w:rsid w:val="00662B9A"/>
    <w:rsid w:val="006864E9"/>
    <w:rsid w:val="00690DD2"/>
    <w:rsid w:val="00697707"/>
    <w:rsid w:val="00697A0B"/>
    <w:rsid w:val="006B2A2B"/>
    <w:rsid w:val="006D3541"/>
    <w:rsid w:val="006D55B3"/>
    <w:rsid w:val="006F2FA5"/>
    <w:rsid w:val="006F5B17"/>
    <w:rsid w:val="00700EDC"/>
    <w:rsid w:val="00706A8C"/>
    <w:rsid w:val="00726D5D"/>
    <w:rsid w:val="00733944"/>
    <w:rsid w:val="0074794F"/>
    <w:rsid w:val="00753DCD"/>
    <w:rsid w:val="00755629"/>
    <w:rsid w:val="00765747"/>
    <w:rsid w:val="0077517B"/>
    <w:rsid w:val="00776267"/>
    <w:rsid w:val="007A4B68"/>
    <w:rsid w:val="007B2384"/>
    <w:rsid w:val="007D34AC"/>
    <w:rsid w:val="007E3441"/>
    <w:rsid w:val="007F2877"/>
    <w:rsid w:val="00804DD8"/>
    <w:rsid w:val="008067BE"/>
    <w:rsid w:val="0082208D"/>
    <w:rsid w:val="00847651"/>
    <w:rsid w:val="00852FFF"/>
    <w:rsid w:val="008669A3"/>
    <w:rsid w:val="0088230D"/>
    <w:rsid w:val="00883E95"/>
    <w:rsid w:val="008906CA"/>
    <w:rsid w:val="008B5B00"/>
    <w:rsid w:val="008C715B"/>
    <w:rsid w:val="008D49CC"/>
    <w:rsid w:val="008D5061"/>
    <w:rsid w:val="008E5D62"/>
    <w:rsid w:val="008F6AAC"/>
    <w:rsid w:val="00915628"/>
    <w:rsid w:val="00930E49"/>
    <w:rsid w:val="009365B0"/>
    <w:rsid w:val="009408FB"/>
    <w:rsid w:val="009521CB"/>
    <w:rsid w:val="0095372A"/>
    <w:rsid w:val="0095654C"/>
    <w:rsid w:val="00980F7F"/>
    <w:rsid w:val="00981C0B"/>
    <w:rsid w:val="009935BC"/>
    <w:rsid w:val="009B6837"/>
    <w:rsid w:val="009B6F6E"/>
    <w:rsid w:val="009C1E67"/>
    <w:rsid w:val="009D22FB"/>
    <w:rsid w:val="009D3277"/>
    <w:rsid w:val="009D7A1E"/>
    <w:rsid w:val="009E53FA"/>
    <w:rsid w:val="009F2786"/>
    <w:rsid w:val="00A104E3"/>
    <w:rsid w:val="00A110C2"/>
    <w:rsid w:val="00A16B00"/>
    <w:rsid w:val="00A17FB3"/>
    <w:rsid w:val="00A20A87"/>
    <w:rsid w:val="00A227A9"/>
    <w:rsid w:val="00A35FE0"/>
    <w:rsid w:val="00A37697"/>
    <w:rsid w:val="00A47D96"/>
    <w:rsid w:val="00A53B51"/>
    <w:rsid w:val="00A65986"/>
    <w:rsid w:val="00A73BE3"/>
    <w:rsid w:val="00A97C4E"/>
    <w:rsid w:val="00AA1D9A"/>
    <w:rsid w:val="00AC0338"/>
    <w:rsid w:val="00AC62FC"/>
    <w:rsid w:val="00AE2EAE"/>
    <w:rsid w:val="00AE5A6C"/>
    <w:rsid w:val="00B13556"/>
    <w:rsid w:val="00B20E16"/>
    <w:rsid w:val="00B53390"/>
    <w:rsid w:val="00B60D21"/>
    <w:rsid w:val="00B75EEE"/>
    <w:rsid w:val="00B77C77"/>
    <w:rsid w:val="00B81A86"/>
    <w:rsid w:val="00B82F2B"/>
    <w:rsid w:val="00B941A1"/>
    <w:rsid w:val="00BC08BA"/>
    <w:rsid w:val="00BD3E6A"/>
    <w:rsid w:val="00BD5FE8"/>
    <w:rsid w:val="00C20DFD"/>
    <w:rsid w:val="00C261AA"/>
    <w:rsid w:val="00C277F5"/>
    <w:rsid w:val="00C3767E"/>
    <w:rsid w:val="00C45F67"/>
    <w:rsid w:val="00C46287"/>
    <w:rsid w:val="00C51AFD"/>
    <w:rsid w:val="00C552D5"/>
    <w:rsid w:val="00CA0ED5"/>
    <w:rsid w:val="00CB7675"/>
    <w:rsid w:val="00CC3734"/>
    <w:rsid w:val="00CE5586"/>
    <w:rsid w:val="00D01931"/>
    <w:rsid w:val="00D2523C"/>
    <w:rsid w:val="00D36579"/>
    <w:rsid w:val="00D43834"/>
    <w:rsid w:val="00D50215"/>
    <w:rsid w:val="00D5120A"/>
    <w:rsid w:val="00D55AF5"/>
    <w:rsid w:val="00D613AF"/>
    <w:rsid w:val="00D615C5"/>
    <w:rsid w:val="00D757DE"/>
    <w:rsid w:val="00D76F90"/>
    <w:rsid w:val="00DA45F8"/>
    <w:rsid w:val="00DB7B9C"/>
    <w:rsid w:val="00DC01DF"/>
    <w:rsid w:val="00DE5ACB"/>
    <w:rsid w:val="00DE5BA3"/>
    <w:rsid w:val="00DF1199"/>
    <w:rsid w:val="00DF13DB"/>
    <w:rsid w:val="00DF72CC"/>
    <w:rsid w:val="00E110C0"/>
    <w:rsid w:val="00E463BF"/>
    <w:rsid w:val="00E75B5B"/>
    <w:rsid w:val="00E82B7B"/>
    <w:rsid w:val="00E86EEB"/>
    <w:rsid w:val="00E872D4"/>
    <w:rsid w:val="00EA4516"/>
    <w:rsid w:val="00EA4C8E"/>
    <w:rsid w:val="00ED1264"/>
    <w:rsid w:val="00EE690A"/>
    <w:rsid w:val="00EF208C"/>
    <w:rsid w:val="00EF20BC"/>
    <w:rsid w:val="00F1668C"/>
    <w:rsid w:val="00F169F5"/>
    <w:rsid w:val="00F25518"/>
    <w:rsid w:val="00F33A77"/>
    <w:rsid w:val="00F42748"/>
    <w:rsid w:val="00F438F5"/>
    <w:rsid w:val="00F51A8F"/>
    <w:rsid w:val="00F619F3"/>
    <w:rsid w:val="00F64F5D"/>
    <w:rsid w:val="00F7065E"/>
    <w:rsid w:val="00F71EC4"/>
    <w:rsid w:val="00F80E69"/>
    <w:rsid w:val="00F829C1"/>
    <w:rsid w:val="00F86993"/>
    <w:rsid w:val="00F91273"/>
    <w:rsid w:val="00F91FED"/>
    <w:rsid w:val="00F93D2B"/>
    <w:rsid w:val="00F9501D"/>
    <w:rsid w:val="00FD4E18"/>
    <w:rsid w:val="00FE2A4D"/>
    <w:rsid w:val="00FE3572"/>
    <w:rsid w:val="00FE6B51"/>
    <w:rsid w:val="00FF18C6"/>
    <w:rsid w:val="00FF4A7D"/>
    <w:rsid w:val="00FF6D23"/>
    <w:rsid w:val="0D4BEE75"/>
    <w:rsid w:val="1EB788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78371"/>
  <w15:docId w15:val="{18B7B7A8-DA49-4557-8528-55A4C241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29"/>
    <w:pPr>
      <w:spacing w:after="200" w:line="276" w:lineRule="auto"/>
    </w:pPr>
    <w:rPr>
      <w:color w:val="000000" w:themeColor="text1"/>
      <w:sz w:val="28"/>
      <w:szCs w:val="22"/>
    </w:rPr>
  </w:style>
  <w:style w:type="paragraph" w:styleId="Heading1">
    <w:name w:val="heading 1"/>
    <w:basedOn w:val="Normal"/>
    <w:next w:val="Normal"/>
    <w:link w:val="Heading1Char"/>
    <w:uiPriority w:val="9"/>
    <w:qFormat/>
    <w:rsid w:val="00C261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227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27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715B"/>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C261AA"/>
    <w:pPr>
      <w:tabs>
        <w:tab w:val="center" w:pos="4513"/>
        <w:tab w:val="right" w:pos="9026"/>
      </w:tabs>
    </w:pPr>
  </w:style>
  <w:style w:type="character" w:customStyle="1" w:styleId="HeaderChar">
    <w:name w:val="Header Char"/>
    <w:basedOn w:val="DefaultParagraphFont"/>
    <w:link w:val="Header"/>
    <w:uiPriority w:val="99"/>
    <w:rsid w:val="00C261AA"/>
  </w:style>
  <w:style w:type="paragraph" w:styleId="Footer">
    <w:name w:val="footer"/>
    <w:basedOn w:val="Normal"/>
    <w:link w:val="FooterChar"/>
    <w:uiPriority w:val="99"/>
    <w:unhideWhenUsed/>
    <w:rsid w:val="00C261AA"/>
    <w:pPr>
      <w:tabs>
        <w:tab w:val="center" w:pos="4513"/>
        <w:tab w:val="right" w:pos="9026"/>
      </w:tabs>
    </w:pPr>
  </w:style>
  <w:style w:type="character" w:customStyle="1" w:styleId="FooterChar">
    <w:name w:val="Footer Char"/>
    <w:basedOn w:val="DefaultParagraphFont"/>
    <w:link w:val="Footer"/>
    <w:uiPriority w:val="99"/>
    <w:rsid w:val="00C261AA"/>
  </w:style>
  <w:style w:type="character" w:customStyle="1" w:styleId="Heading1Char">
    <w:name w:val="Heading 1 Char"/>
    <w:basedOn w:val="DefaultParagraphFont"/>
    <w:link w:val="Heading1"/>
    <w:uiPriority w:val="9"/>
    <w:rsid w:val="00C261A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46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20E"/>
    <w:rPr>
      <w:rFonts w:ascii="Tahoma" w:hAnsi="Tahoma" w:cs="Tahoma"/>
      <w:sz w:val="16"/>
      <w:szCs w:val="16"/>
    </w:rPr>
  </w:style>
  <w:style w:type="character" w:styleId="CommentReference">
    <w:name w:val="annotation reference"/>
    <w:basedOn w:val="DefaultParagraphFont"/>
    <w:uiPriority w:val="99"/>
    <w:semiHidden/>
    <w:unhideWhenUsed/>
    <w:rsid w:val="00B60D21"/>
    <w:rPr>
      <w:sz w:val="16"/>
      <w:szCs w:val="16"/>
    </w:rPr>
  </w:style>
  <w:style w:type="paragraph" w:styleId="CommentText">
    <w:name w:val="annotation text"/>
    <w:basedOn w:val="Normal"/>
    <w:link w:val="CommentTextChar"/>
    <w:uiPriority w:val="99"/>
    <w:semiHidden/>
    <w:unhideWhenUsed/>
    <w:rsid w:val="00B60D21"/>
    <w:rPr>
      <w:sz w:val="20"/>
      <w:szCs w:val="20"/>
    </w:rPr>
  </w:style>
  <w:style w:type="character" w:customStyle="1" w:styleId="CommentTextChar">
    <w:name w:val="Comment Text Char"/>
    <w:basedOn w:val="DefaultParagraphFont"/>
    <w:link w:val="CommentText"/>
    <w:uiPriority w:val="99"/>
    <w:semiHidden/>
    <w:rsid w:val="00B60D21"/>
  </w:style>
  <w:style w:type="paragraph" w:styleId="CommentSubject">
    <w:name w:val="annotation subject"/>
    <w:basedOn w:val="CommentText"/>
    <w:next w:val="CommentText"/>
    <w:link w:val="CommentSubjectChar"/>
    <w:uiPriority w:val="99"/>
    <w:semiHidden/>
    <w:unhideWhenUsed/>
    <w:rsid w:val="00B60D21"/>
    <w:rPr>
      <w:b/>
      <w:bCs/>
    </w:rPr>
  </w:style>
  <w:style w:type="character" w:customStyle="1" w:styleId="CommentSubjectChar">
    <w:name w:val="Comment Subject Char"/>
    <w:basedOn w:val="CommentTextChar"/>
    <w:link w:val="CommentSubject"/>
    <w:uiPriority w:val="99"/>
    <w:semiHidden/>
    <w:rsid w:val="00B60D21"/>
    <w:rPr>
      <w:b/>
      <w:bCs/>
    </w:rPr>
  </w:style>
  <w:style w:type="paragraph" w:styleId="NormalWeb">
    <w:name w:val="Normal (Web)"/>
    <w:basedOn w:val="Normal"/>
    <w:uiPriority w:val="99"/>
    <w:unhideWhenUsed/>
    <w:rsid w:val="007B2384"/>
    <w:pPr>
      <w:spacing w:before="100" w:beforeAutospacing="1" w:after="100" w:afterAutospacing="1" w:line="240" w:lineRule="auto"/>
    </w:pPr>
    <w:rPr>
      <w:rFonts w:ascii="Times New Roman" w:eastAsiaTheme="minorEastAsia" w:hAnsi="Times New Roman"/>
      <w:color w:val="000000"/>
      <w:sz w:val="24"/>
      <w:szCs w:val="24"/>
    </w:rPr>
  </w:style>
  <w:style w:type="paragraph" w:styleId="ListParagraph">
    <w:name w:val="List Paragraph"/>
    <w:basedOn w:val="Normal"/>
    <w:uiPriority w:val="34"/>
    <w:qFormat/>
    <w:rsid w:val="009D22FB"/>
    <w:pPr>
      <w:spacing w:after="160" w:line="256" w:lineRule="auto"/>
      <w:ind w:left="720"/>
      <w:contextualSpacing/>
    </w:pPr>
    <w:rPr>
      <w:rFonts w:asciiTheme="minorHAnsi" w:eastAsiaTheme="minorHAnsi" w:hAnsiTheme="minorHAnsi" w:cstheme="minorBidi"/>
      <w:lang w:eastAsia="en-US"/>
    </w:rPr>
  </w:style>
  <w:style w:type="paragraph" w:customStyle="1" w:styleId="Pa8">
    <w:name w:val="Pa8"/>
    <w:basedOn w:val="Default"/>
    <w:next w:val="Default"/>
    <w:uiPriority w:val="99"/>
    <w:rsid w:val="00D757DE"/>
    <w:pPr>
      <w:widowControl/>
      <w:spacing w:line="251" w:lineRule="atLeast"/>
    </w:pPr>
    <w:rPr>
      <w:rFonts w:ascii="SAWYD L+ Avant Garde ITC by BT" w:hAnsi="SAWYD L+ Avant Garde ITC by BT" w:cs="Times New Roman"/>
      <w:color w:val="auto"/>
    </w:rPr>
  </w:style>
  <w:style w:type="paragraph" w:customStyle="1" w:styleId="Pa9">
    <w:name w:val="Pa9"/>
    <w:basedOn w:val="Default"/>
    <w:next w:val="Default"/>
    <w:uiPriority w:val="99"/>
    <w:rsid w:val="00D757DE"/>
    <w:pPr>
      <w:widowControl/>
      <w:spacing w:line="181" w:lineRule="atLeast"/>
    </w:pPr>
    <w:rPr>
      <w:rFonts w:ascii="SAWYD L+ Avant Garde ITC by BT" w:hAnsi="SAWYD L+ Avant Garde ITC by BT" w:cs="Times New Roman"/>
      <w:color w:val="auto"/>
    </w:rPr>
  </w:style>
  <w:style w:type="paragraph" w:customStyle="1" w:styleId="Pa12">
    <w:name w:val="Pa12"/>
    <w:basedOn w:val="Default"/>
    <w:next w:val="Default"/>
    <w:uiPriority w:val="99"/>
    <w:rsid w:val="00D757DE"/>
    <w:pPr>
      <w:widowControl/>
      <w:spacing w:line="196" w:lineRule="atLeast"/>
    </w:pPr>
    <w:rPr>
      <w:rFonts w:ascii="Helvetica 55 Roman" w:hAnsi="Helvetica 55 Roman" w:cs="Times New Roman"/>
      <w:color w:val="auto"/>
    </w:rPr>
  </w:style>
  <w:style w:type="paragraph" w:customStyle="1" w:styleId="Pa15">
    <w:name w:val="Pa15"/>
    <w:basedOn w:val="Default"/>
    <w:next w:val="Default"/>
    <w:uiPriority w:val="99"/>
    <w:rsid w:val="00D757DE"/>
    <w:pPr>
      <w:widowControl/>
      <w:spacing w:line="196" w:lineRule="atLeast"/>
    </w:pPr>
    <w:rPr>
      <w:rFonts w:ascii="TDGER J+ Avant Garde ITC by BT" w:hAnsi="TDGER J+ Avant Garde ITC by BT" w:cs="Times New Roman"/>
      <w:color w:val="auto"/>
    </w:rPr>
  </w:style>
  <w:style w:type="character" w:customStyle="1" w:styleId="A18">
    <w:name w:val="A18"/>
    <w:uiPriority w:val="99"/>
    <w:rsid w:val="00D757DE"/>
    <w:rPr>
      <w:rFonts w:ascii="Helvetica 55 Roman" w:hAnsi="Helvetica 55 Roman" w:cs="Helvetica 55 Roman"/>
      <w:color w:val="000000"/>
      <w:sz w:val="22"/>
      <w:szCs w:val="22"/>
    </w:rPr>
  </w:style>
  <w:style w:type="paragraph" w:customStyle="1" w:styleId="Pa16">
    <w:name w:val="Pa16"/>
    <w:basedOn w:val="Default"/>
    <w:next w:val="Default"/>
    <w:uiPriority w:val="99"/>
    <w:rsid w:val="00D757DE"/>
    <w:pPr>
      <w:widowControl/>
      <w:spacing w:line="181" w:lineRule="atLeast"/>
    </w:pPr>
    <w:rPr>
      <w:rFonts w:ascii="TDGER J+ Avant Garde ITC by BT" w:hAnsi="TDGER J+ Avant Garde ITC by BT" w:cs="Times New Roman"/>
      <w:color w:val="auto"/>
    </w:rPr>
  </w:style>
  <w:style w:type="character" w:customStyle="1" w:styleId="A15">
    <w:name w:val="A15"/>
    <w:uiPriority w:val="99"/>
    <w:rsid w:val="00D757DE"/>
    <w:rPr>
      <w:rFonts w:ascii="Helvetica 45 Light" w:hAnsi="Helvetica 45 Light" w:cs="Helvetica 45 Light"/>
      <w:color w:val="000000"/>
      <w:sz w:val="13"/>
      <w:szCs w:val="13"/>
    </w:rPr>
  </w:style>
  <w:style w:type="paragraph" w:customStyle="1" w:styleId="Pa35">
    <w:name w:val="Pa35"/>
    <w:basedOn w:val="Default"/>
    <w:next w:val="Default"/>
    <w:uiPriority w:val="99"/>
    <w:rsid w:val="00D757DE"/>
    <w:pPr>
      <w:widowControl/>
      <w:spacing w:line="244" w:lineRule="atLeast"/>
    </w:pPr>
    <w:rPr>
      <w:rFonts w:ascii="TDGER J+ Avant Garde ITC by BT" w:hAnsi="TDGER J+ Avant Garde ITC by BT" w:cs="Times New Roman"/>
      <w:color w:val="auto"/>
    </w:rPr>
  </w:style>
  <w:style w:type="table" w:styleId="TableGrid">
    <w:name w:val="Table Grid"/>
    <w:basedOn w:val="TableNormal"/>
    <w:uiPriority w:val="59"/>
    <w:rsid w:val="00B8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Modeltekst">
    <w:name w:val="22 - Model_tekst"/>
    <w:basedOn w:val="Normal"/>
    <w:rsid w:val="006864E9"/>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lang w:val="nl-NL" w:eastAsia="en-US" w:bidi="en-US"/>
    </w:rPr>
  </w:style>
  <w:style w:type="paragraph" w:styleId="Title">
    <w:name w:val="Title"/>
    <w:basedOn w:val="Normal"/>
    <w:link w:val="TitleChar"/>
    <w:qFormat/>
    <w:rsid w:val="00DA45F8"/>
    <w:pPr>
      <w:overflowPunct w:val="0"/>
      <w:autoSpaceDE w:val="0"/>
      <w:autoSpaceDN w:val="0"/>
      <w:adjustRightInd w:val="0"/>
      <w:spacing w:after="0" w:line="240" w:lineRule="auto"/>
      <w:jc w:val="center"/>
      <w:textAlignment w:val="baseline"/>
    </w:pPr>
    <w:rPr>
      <w:rFonts w:ascii="Times New Roman" w:hAnsi="Times New Roman"/>
      <w:b/>
      <w:szCs w:val="20"/>
      <w:u w:val="single"/>
      <w:lang w:eastAsia="en-US"/>
    </w:rPr>
  </w:style>
  <w:style w:type="character" w:customStyle="1" w:styleId="TitleChar">
    <w:name w:val="Title Char"/>
    <w:basedOn w:val="DefaultParagraphFont"/>
    <w:link w:val="Title"/>
    <w:rsid w:val="00DA45F8"/>
    <w:rPr>
      <w:rFonts w:ascii="Times New Roman" w:hAnsi="Times New Roman"/>
      <w:b/>
      <w:sz w:val="22"/>
      <w:u w:val="single"/>
      <w:lang w:eastAsia="en-US"/>
    </w:rPr>
  </w:style>
  <w:style w:type="paragraph" w:styleId="BodyText">
    <w:name w:val="Body Text"/>
    <w:basedOn w:val="Normal"/>
    <w:link w:val="BodyTextChar"/>
    <w:rsid w:val="00DA45F8"/>
    <w:pPr>
      <w:tabs>
        <w:tab w:val="left" w:pos="2160"/>
      </w:tabs>
      <w:spacing w:after="0" w:line="240" w:lineRule="auto"/>
    </w:pPr>
    <w:rPr>
      <w:rFonts w:ascii="Times New Roman" w:hAnsi="Times New Roman"/>
      <w:sz w:val="32"/>
      <w:szCs w:val="24"/>
      <w:lang w:eastAsia="en-US"/>
    </w:rPr>
  </w:style>
  <w:style w:type="character" w:customStyle="1" w:styleId="BodyTextChar">
    <w:name w:val="Body Text Char"/>
    <w:basedOn w:val="DefaultParagraphFont"/>
    <w:link w:val="BodyText"/>
    <w:rsid w:val="00DA45F8"/>
    <w:rPr>
      <w:rFonts w:ascii="Times New Roman" w:hAnsi="Times New Roman"/>
      <w:sz w:val="32"/>
      <w:szCs w:val="24"/>
      <w:lang w:eastAsia="en-US"/>
    </w:rPr>
  </w:style>
  <w:style w:type="paragraph" w:styleId="Revision">
    <w:name w:val="Revision"/>
    <w:hidden/>
    <w:uiPriority w:val="99"/>
    <w:semiHidden/>
    <w:rsid w:val="003A7FFB"/>
    <w:rPr>
      <w:sz w:val="22"/>
      <w:szCs w:val="22"/>
    </w:rPr>
  </w:style>
  <w:style w:type="character" w:styleId="Hyperlink">
    <w:name w:val="Hyperlink"/>
    <w:basedOn w:val="DefaultParagraphFont"/>
    <w:uiPriority w:val="99"/>
    <w:unhideWhenUsed/>
    <w:rsid w:val="00E86EEB"/>
    <w:rPr>
      <w:color w:val="0000FF" w:themeColor="hyperlink"/>
      <w:u w:val="single"/>
    </w:rPr>
  </w:style>
  <w:style w:type="character" w:styleId="UnresolvedMention">
    <w:name w:val="Unresolved Mention"/>
    <w:basedOn w:val="DefaultParagraphFont"/>
    <w:uiPriority w:val="99"/>
    <w:semiHidden/>
    <w:unhideWhenUsed/>
    <w:rsid w:val="00E86EEB"/>
    <w:rPr>
      <w:color w:val="605E5C"/>
      <w:shd w:val="clear" w:color="auto" w:fill="E1DFDD"/>
    </w:rPr>
  </w:style>
  <w:style w:type="character" w:customStyle="1" w:styleId="Heading2Char">
    <w:name w:val="Heading 2 Char"/>
    <w:basedOn w:val="DefaultParagraphFont"/>
    <w:link w:val="Heading2"/>
    <w:uiPriority w:val="9"/>
    <w:semiHidden/>
    <w:rsid w:val="00A227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227A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F2551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2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216a26e-ba89-44aa-943a-26296848520b">Policy</Document_x0020_Type>
    <TaxKeywordTaxHTField xmlns="1bfba514-f073-48f0-a3ab-256c39884f3c">home working|fdf28e95-b33c-40c7-9229-249b0a803a54;Managers|90d57b3d-df90-41c9-b833-0cfb8c4dd4b6;employee|535a17b5-f71d-4b6e-b0d2-8fa42ece0a62;hr|ca689f3c-6cdc-43da-bca8-70ab568c29f7;Agile working|23556ada-0aa4-4fd2-9f7e-8dc4a8f9cd58;Smarter working|363983cc-fc3f-407a-8e63-8d91e714c46f;hours|72d1fde0-bb7d-4f3e-a0c6-10b0a038b9b7;flexible|28804833-ffe5-4cb5-8546-c7fddc78c4f9;working from home|74af5d36-01f6-4a2e-8c2a-1bfa27325fee</TaxKeywordTaxHTField>
    <Client_x002f_Stakeholder_x0020_consultation_x0020_required xmlns="3216a26e-ba89-44aa-943a-26296848520b">N/A</Client_x002f_Stakeholder_x0020_consultation_x0020_required>
    <DocumentName xmlns="3216a26e-ba89-44aa-943a-26296848520b">Smarter Working Policy</DocumentName>
    <Theme_x0020_Lead_x0020_1 xmlns="3216a26e-ba89-44aa-943a-26296848520b">
      <UserInfo>
        <DisplayName>Ann Kendall</DisplayName>
        <AccountId>30</AccountId>
        <AccountType/>
      </UserInfo>
    </Theme_x0020_Lead_x0020_1>
    <Theme_x0020_Number xmlns="3216a26e-ba89-44aa-943a-26296848520b">Human Resources</Theme_x0020_Number>
    <Next_x0020_Review_x0020_Date xmlns="3216a26e-ba89-44aa-943a-26296848520b">2028-11-19T00:00:00+00:00</Next_x0020_Review_x0020_Date>
    <AnnualLightTouchReviewRequired xmlns="3216a26e-ba89-44aa-943a-26296848520b">No</AnnualLightTouchReviewRequired>
    <Frequency_x0020_in_x0020_Months xmlns="3216a26e-ba89-44aa-943a-26296848520b">36</Frequency_x0020_in_x0020_Months>
    <Approval_x0020_Date xmlns="3216a26e-ba89-44aa-943a-26296848520b">2025-11-19T00:00:00+00:00</Approval_x0020_Date>
    <Author1 xmlns="3216a26e-ba89-44aa-943a-26296848520b">
      <UserInfo>
        <DisplayName>Kate Siddall</DisplayName>
        <AccountId>19</AccountId>
        <AccountType/>
      </UserInfo>
    </Author1>
    <Approval xmlns="3216a26e-ba89-44aa-943a-26296848520b">SMT</Approval>
    <TaxCatchAll xmlns="1bfba514-f073-48f0-a3ab-256c39884f3c">
      <Value>271</Value>
      <Value>274</Value>
      <Value>55</Value>
      <Value>209</Value>
      <Value>276</Value>
      <Value>241</Value>
      <Value>275</Value>
      <Value>273</Value>
      <Value>272</Value>
    </TaxCatchAll>
    <ThemeNumber xmlns="3216a26e-ba89-44aa-943a-26296848520b">10</ThemeNumber>
    <_Flow_SignoffStatus xmlns="3216a26e-ba89-44aa-943a-2629684852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720EE03B4FE64085FA5EDFE426933B" ma:contentTypeVersion="27" ma:contentTypeDescription="Create a new document." ma:contentTypeScope="" ma:versionID="458676a06a85d81d1c745f70a1036e2f">
  <xsd:schema xmlns:xsd="http://www.w3.org/2001/XMLSchema" xmlns:xs="http://www.w3.org/2001/XMLSchema" xmlns:p="http://schemas.microsoft.com/office/2006/metadata/properties" xmlns:ns2="3216a26e-ba89-44aa-943a-26296848520b" xmlns:ns3="1bfba514-f073-48f0-a3ab-256c39884f3c" targetNamespace="http://schemas.microsoft.com/office/2006/metadata/properties" ma:root="true" ma:fieldsID="bcde8fa90d4b7dd66b9bcb4ed7e135ea" ns2:_="" ns3:_="">
    <xsd:import namespace="3216a26e-ba89-44aa-943a-26296848520b"/>
    <xsd:import namespace="1bfba514-f073-48f0-a3ab-256c39884f3c"/>
    <xsd:element name="properties">
      <xsd:complexType>
        <xsd:sequence>
          <xsd:element name="documentManagement">
            <xsd:complexType>
              <xsd:all>
                <xsd:element ref="ns3:TaxKeywordTaxHTField" minOccurs="0"/>
                <xsd:element ref="ns3:TaxCatchAll" minOccurs="0"/>
                <xsd:element ref="ns2:Theme_x0020_Number"/>
                <xsd:element ref="ns2:Document_x0020_Type" minOccurs="0"/>
                <xsd:element ref="ns2:Approval" minOccurs="0"/>
                <xsd:element ref="ns2:Client_x002f_Stakeholder_x0020_consultation_x0020_required" minOccurs="0"/>
                <xsd:element ref="ns2:Frequency_x0020_in_x0020_Months" minOccurs="0"/>
                <xsd:element ref="ns2:Approval_x0020_Date" minOccurs="0"/>
                <xsd:element ref="ns2:Next_x0020_Review_x0020_Date" minOccurs="0"/>
                <xsd:element ref="ns2:DocumentName" minOccurs="0"/>
                <xsd:element ref="ns2:ThemeNumber" minOccurs="0"/>
                <xsd:element ref="ns2:AnnualLightTouchReviewRequired" minOccurs="0"/>
                <xsd:element ref="ns2:Theme_x0020_Lead_x0020_1"/>
                <xsd:element ref="ns2:Author1"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6a26e-ba89-44aa-943a-26296848520b" elementFormDefault="qualified">
    <xsd:import namespace="http://schemas.microsoft.com/office/2006/documentManagement/types"/>
    <xsd:import namespace="http://schemas.microsoft.com/office/infopath/2007/PartnerControls"/>
    <xsd:element name="Theme_x0020_Number" ma:index="11" ma:displayName="Theme Name" ma:format="Dropdown" ma:internalName="Theme_x0020_Number">
      <xsd:simpleType>
        <xsd:restriction base="dms:Text">
          <xsd:maxLength value="255"/>
        </xsd:restriction>
      </xsd:simpleType>
    </xsd:element>
    <xsd:element name="Document_x0020_Type" ma:index="12" nillable="true" ma:displayName="Document Type" ma:format="Dropdown" ma:internalName="Document_x0020_Type">
      <xsd:simpleType>
        <xsd:restriction base="dms:Choice">
          <xsd:enumeration value="Guidance"/>
          <xsd:enumeration value="Form"/>
          <xsd:enumeration value="Plan"/>
          <xsd:enumeration value="External"/>
          <xsd:enumeration value="Strategy"/>
          <xsd:enumeration value="Policy"/>
          <xsd:enumeration value="Procedure"/>
          <xsd:enumeration value="Briefing"/>
        </xsd:restriction>
      </xsd:simpleType>
    </xsd:element>
    <xsd:element name="Approval" ma:index="13" nillable="true" ma:displayName="Approved By" ma:format="Dropdown" ma:internalName="Approval">
      <xsd:simpleType>
        <xsd:restriction base="dms:Text">
          <xsd:maxLength value="255"/>
        </xsd:restriction>
      </xsd:simpleType>
    </xsd:element>
    <xsd:element name="Client_x002f_Stakeholder_x0020_consultation_x0020_required" ma:index="14" nillable="true" ma:displayName="Client/Stakeholder consultation required" ma:internalName="Client_x002f_Stakeholder_x0020_consultation_x0020_required">
      <xsd:simpleType>
        <xsd:restriction base="dms:Text">
          <xsd:maxLength value="255"/>
        </xsd:restriction>
      </xsd:simpleType>
    </xsd:element>
    <xsd:element name="Frequency_x0020_in_x0020_Months" ma:index="15" nillable="true" ma:displayName="Frequency in Months" ma:internalName="Frequency_x0020_in_x0020_Months">
      <xsd:simpleType>
        <xsd:restriction base="dms:Text">
          <xsd:maxLength value="255"/>
        </xsd:restriction>
      </xsd:simpleType>
    </xsd:element>
    <xsd:element name="Approval_x0020_Date" ma:index="16" nillable="true" ma:displayName="Approval Date" ma:format="DateOnly" ma:internalName="Approval_x0020_Date">
      <xsd:simpleType>
        <xsd:restriction base="dms:DateTime"/>
      </xsd:simpleType>
    </xsd:element>
    <xsd:element name="Next_x0020_Review_x0020_Date" ma:index="17" nillable="true" ma:displayName="Next Review Date" ma:format="DateOnly" ma:internalName="Next_x0020_Review_x0020_Date">
      <xsd:simpleType>
        <xsd:restriction base="dms:DateTime"/>
      </xsd:simpleType>
    </xsd:element>
    <xsd:element name="DocumentName" ma:index="19" nillable="true" ma:displayName="Document Name" ma:format="Dropdown" ma:internalName="DocumentName">
      <xsd:simpleType>
        <xsd:restriction base="dms:Text">
          <xsd:maxLength value="255"/>
        </xsd:restriction>
      </xsd:simpleType>
    </xsd:element>
    <xsd:element name="ThemeNumber" ma:index="20" nillable="true" ma:displayName="Theme Number" ma:format="Dropdown" ma:internalName="ThemeNumber" ma:percentage="FALSE">
      <xsd:simpleType>
        <xsd:restriction base="dms:Number"/>
      </xsd:simpleType>
    </xsd:element>
    <xsd:element name="AnnualLightTouchReviewRequired" ma:index="21" nillable="true" ma:displayName="Annual Light Touch Review Required" ma:format="Dropdown" ma:internalName="AnnualLightTouchReviewRequired">
      <xsd:simpleType>
        <xsd:restriction base="dms:Choice">
          <xsd:enumeration value="Yes"/>
          <xsd:enumeration value="No"/>
        </xsd:restriction>
      </xsd:simpleType>
    </xsd:element>
    <xsd:element name="Theme_x0020_Lead_x0020_1" ma:index="22" ma:displayName="Theme Lead" ma:format="Dropdown" ma:list="UserInfo" ma:SharePointGroup="0" ma:internalName="Theme_x0020_Lead_x0020_1"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1" ma:index="23" nillable="true" ma:displayName="Author" ma:format="Dropdown" ma:list="UserInfo" ma:SharePointGroup="0" ma:internalName="Autho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_Flow_SignoffStatus" ma:index="3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ba514-f073-48f0-a3ab-256c39884f3c"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bd61a473-aa5b-417a-9556-3ebe99aa5f35}" ma:internalName="TaxCatchAll" ma:showField="CatchAllData" ma:web="1bfba514-f073-48f0-a3ab-256c39884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FC10-4D17-47B7-A65B-5209D2DEB0B1}">
  <ds:schemaRefs>
    <ds:schemaRef ds:uri="http://schemas.microsoft.com/office/2006/metadata/properties"/>
    <ds:schemaRef ds:uri="http://schemas.microsoft.com/office/infopath/2007/PartnerControls"/>
    <ds:schemaRef ds:uri="3216a26e-ba89-44aa-943a-26296848520b"/>
    <ds:schemaRef ds:uri="1bfba514-f073-48f0-a3ab-256c39884f3c"/>
  </ds:schemaRefs>
</ds:datastoreItem>
</file>

<file path=customXml/itemProps2.xml><?xml version="1.0" encoding="utf-8"?>
<ds:datastoreItem xmlns:ds="http://schemas.openxmlformats.org/officeDocument/2006/customXml" ds:itemID="{9FDA8F6D-BB2C-4A30-853A-19514A7DBDA1}">
  <ds:schemaRefs>
    <ds:schemaRef ds:uri="http://schemas.microsoft.com/sharepoint/v3/contenttype/forms"/>
  </ds:schemaRefs>
</ds:datastoreItem>
</file>

<file path=customXml/itemProps3.xml><?xml version="1.0" encoding="utf-8"?>
<ds:datastoreItem xmlns:ds="http://schemas.openxmlformats.org/officeDocument/2006/customXml" ds:itemID="{890D72C5-EEB2-42E7-893E-D6381A7E0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6a26e-ba89-44aa-943a-26296848520b"/>
    <ds:schemaRef ds:uri="1bfba514-f073-48f0-a3ab-256c39884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9768D-2ED3-49B5-B576-06F31EF8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1123</Words>
  <Characters>5526</Characters>
  <Application>Microsoft Office Word</Application>
  <DocSecurity>0</DocSecurity>
  <Lines>345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bibif</dc:creator>
  <cp:keywords>home working; Managers; Agile working; Smarter working; hours; hr; employee; working from home; flexible</cp:keywords>
  <dc:description/>
  <cp:lastModifiedBy>Ravinder Singh</cp:lastModifiedBy>
  <cp:revision>9</cp:revision>
  <cp:lastPrinted>2013-05-22T14:31:00Z</cp:lastPrinted>
  <dcterms:created xsi:type="dcterms:W3CDTF">2026-02-03T14:31:00Z</dcterms:created>
  <dcterms:modified xsi:type="dcterms:W3CDTF">2026-02-19T13:19:00Z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0x010100C3720EE03B4FE64085FA5EDFE426933B</vt:lpwstr>
  </property>
  <property fmtid="{D5CDD505-2E9C-101B-9397-08002B2CF9AE}" pid="3" name="TaxKeyword">
    <vt:lpwstr>271;#home working|fdf28e95-b33c-40c7-9229-249b0a803a54;#241;#Managers|90d57b3d-df90-41c9-b833-0cfb8c4dd4b6;#55;#employee|535a17b5-f71d-4b6e-b0d2-8fa42ece0a62;#209;#hr|ca689f3c-6cdc-43da-bca8-70ab568c29f7;#276;#Agile working|23556ada-0aa4-4fd2-9f7e-8dc4a8f9cd58;#275;#Smarter working|363983cc-fc3f-407a-8e63-8d91e714c46f;#274;#hours|72d1fde0-bb7d-4f3e-a0c6-10b0a038b9b7;#273;#flexible|28804833-ffe5-4cb5-8546-c7fddc78c4f9;#272;#working from home|74af5d36-01f6-4a2e-8c2a-1bfa27325fee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Test Col">
    <vt:lpwstr/>
  </property>
  <property fmtid="{D5CDD505-2E9C-101B-9397-08002B2CF9AE}" pid="11" name="Test_x0020_Col">
    <vt:lpwstr/>
  </property>
  <property fmtid="{D5CDD505-2E9C-101B-9397-08002B2CF9AE}" pid="12" name="docLang">
    <vt:lpwstr>en</vt:lpwstr>
  </property>
</Properties>
</file>